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6FEB39" w14:textId="77777777" w:rsidR="00E83CC5" w:rsidRDefault="00000000">
      <w:pPr>
        <w:spacing w:after="60"/>
        <w:jc w:val="center"/>
      </w:pPr>
      <w:r>
        <w:rPr>
          <w:b/>
          <w:bCs/>
          <w:color w:val="1F3864"/>
          <w:sz w:val="36"/>
          <w:szCs w:val="36"/>
        </w:rPr>
        <w:t>DATASET UNDERSTANDING REPORT</w:t>
      </w:r>
    </w:p>
    <w:p w14:paraId="0D9FAD25" w14:textId="77777777" w:rsidR="00E83CC5" w:rsidRDefault="00000000">
      <w:pPr>
        <w:spacing w:after="40"/>
        <w:jc w:val="center"/>
      </w:pPr>
      <w:r>
        <w:rPr>
          <w:b/>
          <w:bCs/>
          <w:color w:val="2E75B6"/>
          <w:sz w:val="26"/>
          <w:szCs w:val="26"/>
        </w:rPr>
        <w:t>NexaChain Intelligence Platform</w:t>
      </w:r>
    </w:p>
    <w:p w14:paraId="50D9C47D" w14:textId="77777777" w:rsidR="00E83CC5" w:rsidRDefault="00000000">
      <w:pPr>
        <w:pStyle w:val="Heading1"/>
      </w:pPr>
      <w:r>
        <w:t>1. Introduction</w:t>
      </w:r>
    </w:p>
    <w:p w14:paraId="4D53C0B5" w14:textId="1F1B1581" w:rsidR="00E83CC5" w:rsidRDefault="00000000">
      <w:pPr>
        <w:spacing w:after="160"/>
      </w:pPr>
      <w:r>
        <w:t xml:space="preserve">This report consolidates </w:t>
      </w:r>
      <w:r w:rsidR="007346D1">
        <w:t>my</w:t>
      </w:r>
      <w:r>
        <w:t xml:space="preserve"> understanding of the five datasets underpinning the NexaChain Intelligence Platform: Orders, Inventory, Vendors, Logistics, and Financials. For each dataset, the report covers its purpose, business context, relationships to the other datasets, anticipated key metrics, and potential business use cases.</w:t>
      </w:r>
    </w:p>
    <w:p w14:paraId="3396A897" w14:textId="77777777" w:rsidR="00E83CC5" w:rsidRDefault="00000000">
      <w:pPr>
        <w:pStyle w:val="Heading1"/>
      </w:pPr>
      <w:r>
        <w:t>2. Dataset Architecture Overview</w:t>
      </w:r>
    </w:p>
    <w:p w14:paraId="35CE72BC" w14:textId="77777777" w:rsidR="00E83CC5" w:rsidRDefault="00000000">
      <w:pPr>
        <w:spacing w:after="160"/>
      </w:pPr>
      <w:r>
        <w:t>The platform is built on five interconnected enterprise datasets, totaling 361,000+ records, each feeding a different part of the business picture.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6160"/>
      </w:tblGrid>
      <w:tr w:rsidR="00E83CC5" w14:paraId="7FEF6E6B" w14:textId="77777777" w:rsidTr="009A396C">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C45911" w:themeFill="accent2" w:themeFillShade="BF"/>
            <w:tcMar>
              <w:top w:w="100" w:type="dxa"/>
              <w:left w:w="140" w:type="dxa"/>
              <w:bottom w:w="100" w:type="dxa"/>
              <w:right w:w="140" w:type="dxa"/>
            </w:tcMar>
            <w:vAlign w:val="center"/>
          </w:tcPr>
          <w:p w14:paraId="4C1473E2" w14:textId="77777777" w:rsidR="00E83CC5" w:rsidRPr="009A396C" w:rsidRDefault="00000000">
            <w:pPr>
              <w:rPr>
                <w:color w:val="000000" w:themeColor="text1"/>
              </w:rPr>
            </w:pPr>
            <w:r w:rsidRPr="009A396C">
              <w:rPr>
                <w:b/>
                <w:bCs/>
                <w:color w:val="000000" w:themeColor="text1"/>
                <w:sz w:val="21"/>
                <w:szCs w:val="21"/>
              </w:rPr>
              <w:t>Dataset</w:t>
            </w:r>
          </w:p>
        </w:tc>
        <w:tc>
          <w:tcPr>
            <w:tcW w:w="1500" w:type="dxa"/>
            <w:tcBorders>
              <w:top w:val="single" w:sz="1" w:space="0" w:color="CCCCCC"/>
              <w:left w:val="single" w:sz="1" w:space="0" w:color="CCCCCC"/>
              <w:bottom w:val="single" w:sz="1" w:space="0" w:color="CCCCCC"/>
              <w:right w:val="single" w:sz="1" w:space="0" w:color="CCCCCC"/>
            </w:tcBorders>
            <w:shd w:val="clear" w:color="auto" w:fill="C45911" w:themeFill="accent2" w:themeFillShade="BF"/>
            <w:tcMar>
              <w:top w:w="100" w:type="dxa"/>
              <w:left w:w="140" w:type="dxa"/>
              <w:bottom w:w="100" w:type="dxa"/>
              <w:right w:w="140" w:type="dxa"/>
            </w:tcMar>
            <w:vAlign w:val="center"/>
          </w:tcPr>
          <w:p w14:paraId="47AE79EC" w14:textId="77777777" w:rsidR="00E83CC5" w:rsidRPr="009A396C" w:rsidRDefault="00000000">
            <w:pPr>
              <w:rPr>
                <w:color w:val="000000" w:themeColor="text1"/>
              </w:rPr>
            </w:pPr>
            <w:r w:rsidRPr="009A396C">
              <w:rPr>
                <w:b/>
                <w:bCs/>
                <w:color w:val="000000" w:themeColor="text1"/>
                <w:sz w:val="21"/>
                <w:szCs w:val="21"/>
              </w:rPr>
              <w:t>Records</w:t>
            </w:r>
          </w:p>
        </w:tc>
        <w:tc>
          <w:tcPr>
            <w:tcW w:w="6160" w:type="dxa"/>
            <w:tcBorders>
              <w:top w:val="single" w:sz="1" w:space="0" w:color="CCCCCC"/>
              <w:left w:val="single" w:sz="1" w:space="0" w:color="CCCCCC"/>
              <w:bottom w:val="single" w:sz="1" w:space="0" w:color="CCCCCC"/>
              <w:right w:val="single" w:sz="1" w:space="0" w:color="CCCCCC"/>
            </w:tcBorders>
            <w:shd w:val="clear" w:color="auto" w:fill="C45911" w:themeFill="accent2" w:themeFillShade="BF"/>
            <w:tcMar>
              <w:top w:w="100" w:type="dxa"/>
              <w:left w:w="140" w:type="dxa"/>
              <w:bottom w:w="100" w:type="dxa"/>
              <w:right w:w="140" w:type="dxa"/>
            </w:tcMar>
            <w:vAlign w:val="center"/>
          </w:tcPr>
          <w:p w14:paraId="0B881DE4" w14:textId="77777777" w:rsidR="00E83CC5" w:rsidRPr="009A396C" w:rsidRDefault="00000000">
            <w:pPr>
              <w:rPr>
                <w:color w:val="000000" w:themeColor="text1"/>
              </w:rPr>
            </w:pPr>
            <w:r w:rsidRPr="009A396C">
              <w:rPr>
                <w:b/>
                <w:bCs/>
                <w:color w:val="000000" w:themeColor="text1"/>
                <w:sz w:val="21"/>
                <w:szCs w:val="21"/>
              </w:rPr>
              <w:t>Core Purpose</w:t>
            </w:r>
          </w:p>
        </w:tc>
      </w:tr>
      <w:tr w:rsidR="00E83CC5" w14:paraId="2A0E5D53" w14:textId="77777777">
        <w:tc>
          <w:tcPr>
            <w:tcW w:w="1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F6C00B9" w14:textId="77777777" w:rsidR="00E83CC5" w:rsidRDefault="00000000">
            <w:r>
              <w:rPr>
                <w:color w:val="000000"/>
                <w:sz w:val="21"/>
                <w:szCs w:val="21"/>
              </w:rPr>
              <w:t>Orders.csv</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D648ACF" w14:textId="77777777" w:rsidR="00E83CC5" w:rsidRDefault="00000000">
            <w:r>
              <w:rPr>
                <w:color w:val="000000"/>
                <w:sz w:val="21"/>
                <w:szCs w:val="21"/>
              </w:rPr>
              <w:t>122,000+</w:t>
            </w:r>
          </w:p>
        </w:tc>
        <w:tc>
          <w:tcPr>
            <w:tcW w:w="6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52DD341" w14:textId="2EDD65B4" w:rsidR="00E83CC5" w:rsidRDefault="00000000">
            <w:r>
              <w:rPr>
                <w:color w:val="000000"/>
                <w:sz w:val="21"/>
                <w:szCs w:val="21"/>
              </w:rPr>
              <w:t>Central transaction table of customer order activity</w:t>
            </w:r>
            <w:r w:rsidR="007346D1">
              <w:rPr>
                <w:color w:val="000000"/>
                <w:sz w:val="21"/>
                <w:szCs w:val="21"/>
              </w:rPr>
              <w:t>, this dataset is considered as the central fact table</w:t>
            </w:r>
          </w:p>
        </w:tc>
      </w:tr>
      <w:tr w:rsidR="00E83CC5" w14:paraId="4470936D" w14:textId="77777777">
        <w:tc>
          <w:tcPr>
            <w:tcW w:w="1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41F0489" w14:textId="77777777" w:rsidR="00E83CC5" w:rsidRDefault="00000000">
            <w:r>
              <w:rPr>
                <w:color w:val="000000"/>
                <w:sz w:val="21"/>
                <w:szCs w:val="21"/>
              </w:rPr>
              <w:t>Inventory.csv</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4FDA4E8" w14:textId="4E3F27C6" w:rsidR="00E83CC5" w:rsidRDefault="007346D1">
            <w:r>
              <w:t>55,000+</w:t>
            </w:r>
          </w:p>
        </w:tc>
        <w:tc>
          <w:tcPr>
            <w:tcW w:w="6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1AC2769" w14:textId="77777777" w:rsidR="00E83CC5" w:rsidRDefault="00000000">
            <w:r>
              <w:rPr>
                <w:color w:val="000000"/>
                <w:sz w:val="21"/>
                <w:szCs w:val="21"/>
              </w:rPr>
              <w:t>Warehouse inventory levels and stock movement</w:t>
            </w:r>
          </w:p>
        </w:tc>
      </w:tr>
      <w:tr w:rsidR="00E83CC5" w14:paraId="1BF8BC85" w14:textId="77777777">
        <w:tc>
          <w:tcPr>
            <w:tcW w:w="1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DD4A3DA" w14:textId="77777777" w:rsidR="00E83CC5" w:rsidRDefault="00000000">
            <w:r>
              <w:rPr>
                <w:color w:val="000000"/>
                <w:sz w:val="21"/>
                <w:szCs w:val="21"/>
              </w:rPr>
              <w:t>Vendors.csv</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19EB836" w14:textId="55AF15F5" w:rsidR="00E83CC5" w:rsidRDefault="007346D1">
            <w:r>
              <w:t>22,000+</w:t>
            </w:r>
          </w:p>
        </w:tc>
        <w:tc>
          <w:tcPr>
            <w:tcW w:w="6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10DDD89" w14:textId="77777777" w:rsidR="00E83CC5" w:rsidRDefault="00000000">
            <w:r>
              <w:rPr>
                <w:color w:val="000000"/>
                <w:sz w:val="21"/>
                <w:szCs w:val="21"/>
              </w:rPr>
              <w:t>Vendor performance and procurement intelligence</w:t>
            </w:r>
          </w:p>
        </w:tc>
      </w:tr>
      <w:tr w:rsidR="00E83CC5" w14:paraId="74A56D3F" w14:textId="77777777">
        <w:tc>
          <w:tcPr>
            <w:tcW w:w="1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064F570" w14:textId="77777777" w:rsidR="00E83CC5" w:rsidRDefault="00000000">
            <w:r>
              <w:rPr>
                <w:color w:val="000000"/>
                <w:sz w:val="21"/>
                <w:szCs w:val="21"/>
              </w:rPr>
              <w:t>Logistics.csv</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28893A" w14:textId="73A50DD7" w:rsidR="00E83CC5" w:rsidRDefault="007346D1">
            <w:r>
              <w:t>85,000+</w:t>
            </w:r>
          </w:p>
        </w:tc>
        <w:tc>
          <w:tcPr>
            <w:tcW w:w="6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A25511C" w14:textId="77777777" w:rsidR="00E83CC5" w:rsidRDefault="00000000">
            <w:r>
              <w:rPr>
                <w:color w:val="000000"/>
                <w:sz w:val="21"/>
                <w:szCs w:val="21"/>
              </w:rPr>
              <w:t>Shipment and transportation analytics</w:t>
            </w:r>
          </w:p>
        </w:tc>
      </w:tr>
      <w:tr w:rsidR="00E83CC5" w14:paraId="369EA41B" w14:textId="77777777">
        <w:tc>
          <w:tcPr>
            <w:tcW w:w="1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95CEE12" w14:textId="77777777" w:rsidR="00E83CC5" w:rsidRDefault="00000000">
            <w:r>
              <w:rPr>
                <w:color w:val="000000"/>
                <w:sz w:val="21"/>
                <w:szCs w:val="21"/>
              </w:rPr>
              <w:t>Financials.csv</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D25D678" w14:textId="0CB8C3E3" w:rsidR="00E83CC5" w:rsidRDefault="007346D1">
            <w:r>
              <w:t>65,000+</w:t>
            </w:r>
          </w:p>
        </w:tc>
        <w:tc>
          <w:tcPr>
            <w:tcW w:w="6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FA1A0B2" w14:textId="77777777" w:rsidR="00E83CC5" w:rsidRDefault="00000000">
            <w:r>
              <w:rPr>
                <w:color w:val="000000"/>
                <w:sz w:val="21"/>
                <w:szCs w:val="21"/>
              </w:rPr>
              <w:t>Financial and operational performance analysis</w:t>
            </w:r>
          </w:p>
        </w:tc>
      </w:tr>
    </w:tbl>
    <w:p w14:paraId="4FC448A8" w14:textId="77777777" w:rsidR="00E83CC5" w:rsidRDefault="00000000">
      <w:pPr>
        <w:pStyle w:val="Heading1"/>
      </w:pPr>
      <w:r>
        <w:t>3. Dataset-by-Dataset Review</w:t>
      </w:r>
    </w:p>
    <w:p w14:paraId="38243DB5" w14:textId="77777777" w:rsidR="00E83CC5" w:rsidRPr="00B12F63" w:rsidRDefault="00000000" w:rsidP="00B12F63">
      <w:pPr>
        <w:rPr>
          <w:b/>
          <w:bCs/>
          <w:color w:val="2F5496" w:themeColor="accent1" w:themeShade="BF"/>
          <w:sz w:val="36"/>
          <w:szCs w:val="36"/>
        </w:rPr>
      </w:pPr>
      <w:r w:rsidRPr="00B12F63">
        <w:rPr>
          <w:b/>
          <w:bCs/>
          <w:color w:val="2F5496" w:themeColor="accent1" w:themeShade="BF"/>
          <w:sz w:val="36"/>
          <w:szCs w:val="36"/>
        </w:rPr>
        <w:t>3.1 Orders.csv</w:t>
      </w:r>
    </w:p>
    <w:p w14:paraId="61601913" w14:textId="77777777" w:rsidR="00E83CC5" w:rsidRDefault="00000000">
      <w:pPr>
        <w:pStyle w:val="Heading3"/>
      </w:pPr>
      <w:r>
        <w:t>Dataset Purpose</w:t>
      </w:r>
    </w:p>
    <w:p w14:paraId="3EAEE351" w14:textId="452F3902" w:rsidR="00E83CC5" w:rsidRDefault="00000000">
      <w:pPr>
        <w:spacing w:after="160"/>
      </w:pPr>
      <w:r>
        <w:t>Acts as the transactional backbone of the platform</w:t>
      </w:r>
      <w:r w:rsidR="007346D1">
        <w:t>. E</w:t>
      </w:r>
      <w:r>
        <w:t>very customer order placed across GlobeNex's operations is recorded here, including order, product, customer, revenue, profitability, and delivery performance information.</w:t>
      </w:r>
    </w:p>
    <w:p w14:paraId="5653661A" w14:textId="77777777" w:rsidR="00E83CC5" w:rsidRDefault="00000000">
      <w:pPr>
        <w:pStyle w:val="Heading3"/>
      </w:pPr>
      <w:r>
        <w:t>Business Context</w:t>
      </w:r>
    </w:p>
    <w:p w14:paraId="5880DED1" w14:textId="469271FC" w:rsidR="00E83CC5" w:rsidRDefault="00000000">
      <w:pPr>
        <w:spacing w:after="160"/>
      </w:pPr>
      <w:r>
        <w:t>This is the dataset closest to the customer and to revenue. It is the natural starting point for understanding demand, profitability, and whether GlobeNex is meeting its delivery promises  directly relevant to the Logistics Performance and Financial Risk business challenges.</w:t>
      </w:r>
    </w:p>
    <w:p w14:paraId="62F0DCED" w14:textId="77777777" w:rsidR="00E83CC5" w:rsidRDefault="00000000">
      <w:pPr>
        <w:pStyle w:val="Heading3"/>
      </w:pPr>
      <w:r>
        <w:t>Dataset Relationships</w:t>
      </w:r>
    </w:p>
    <w:p w14:paraId="4D586A9B" w14:textId="60346134" w:rsidR="00E83CC5" w:rsidRDefault="00000000">
      <w:pPr>
        <w:spacing w:after="160"/>
      </w:pPr>
      <w:r>
        <w:t xml:space="preserve">Each </w:t>
      </w:r>
      <w:r w:rsidRPr="0031763D">
        <w:rPr>
          <w:b/>
          <w:bCs/>
          <w:color w:val="C00000"/>
        </w:rPr>
        <w:t>order</w:t>
      </w:r>
      <w:r w:rsidRPr="0031763D">
        <w:rPr>
          <w:color w:val="C00000"/>
        </w:rPr>
        <w:t xml:space="preserve"> </w:t>
      </w:r>
      <w:r>
        <w:t xml:space="preserve">links to </w:t>
      </w:r>
      <w:r w:rsidR="0031763D" w:rsidRPr="0031763D">
        <w:rPr>
          <w:b/>
          <w:bCs/>
          <w:color w:val="EE0000"/>
        </w:rPr>
        <w:t>logistics</w:t>
      </w:r>
      <w:r w:rsidR="0031763D" w:rsidRPr="0031763D">
        <w:rPr>
          <w:color w:val="EE0000"/>
        </w:rPr>
        <w:t xml:space="preserve"> </w:t>
      </w:r>
      <w:r w:rsidR="0031763D">
        <w:t xml:space="preserve">dataset with a </w:t>
      </w:r>
      <w:r w:rsidR="0031763D" w:rsidRPr="0031763D">
        <w:rPr>
          <w:b/>
          <w:bCs/>
        </w:rPr>
        <w:t>one-to-many</w:t>
      </w:r>
      <w:r w:rsidR="0031763D">
        <w:t xml:space="preserve"> relationship</w:t>
      </w:r>
    </w:p>
    <w:p w14:paraId="7B508768" w14:textId="77777777" w:rsidR="0031763D" w:rsidRDefault="0031763D">
      <w:pPr>
        <w:spacing w:after="160"/>
      </w:pPr>
      <w:r>
        <w:t xml:space="preserve">Each </w:t>
      </w:r>
      <w:r w:rsidRPr="0031763D">
        <w:rPr>
          <w:b/>
          <w:bCs/>
          <w:color w:val="C00000"/>
        </w:rPr>
        <w:t>order</w:t>
      </w:r>
      <w:r w:rsidRPr="0031763D">
        <w:rPr>
          <w:color w:val="C00000"/>
        </w:rPr>
        <w:t xml:space="preserve"> </w:t>
      </w:r>
      <w:r>
        <w:t xml:space="preserve">links to </w:t>
      </w:r>
      <w:r w:rsidRPr="0031763D">
        <w:rPr>
          <w:b/>
          <w:bCs/>
          <w:color w:val="EE0000"/>
        </w:rPr>
        <w:t>Inventory</w:t>
      </w:r>
      <w:r w:rsidRPr="0031763D">
        <w:rPr>
          <w:color w:val="EE0000"/>
        </w:rPr>
        <w:t xml:space="preserve"> </w:t>
      </w:r>
      <w:r>
        <w:t xml:space="preserve">dataset with a </w:t>
      </w:r>
      <w:r w:rsidRPr="0031763D">
        <w:rPr>
          <w:b/>
          <w:bCs/>
        </w:rPr>
        <w:t>many-to-many</w:t>
      </w:r>
      <w:r>
        <w:t xml:space="preserve"> relationship</w:t>
      </w:r>
    </w:p>
    <w:p w14:paraId="181379B5" w14:textId="2439FA17" w:rsidR="0031763D" w:rsidRDefault="0031763D">
      <w:pPr>
        <w:spacing w:after="160"/>
      </w:pPr>
      <w:r>
        <w:t xml:space="preserve">Each </w:t>
      </w:r>
      <w:r w:rsidRPr="0031763D">
        <w:rPr>
          <w:b/>
          <w:bCs/>
          <w:color w:val="C00000"/>
        </w:rPr>
        <w:t>order</w:t>
      </w:r>
      <w:r w:rsidRPr="0031763D">
        <w:rPr>
          <w:color w:val="C00000"/>
        </w:rPr>
        <w:t xml:space="preserve"> </w:t>
      </w:r>
      <w:r>
        <w:t xml:space="preserve">links to </w:t>
      </w:r>
      <w:r w:rsidRPr="0031763D">
        <w:rPr>
          <w:b/>
          <w:bCs/>
          <w:color w:val="EE0000"/>
        </w:rPr>
        <w:t>Vendors</w:t>
      </w:r>
      <w:r w:rsidRPr="0031763D">
        <w:rPr>
          <w:color w:val="EE0000"/>
        </w:rPr>
        <w:t xml:space="preserve"> </w:t>
      </w:r>
      <w:r>
        <w:t xml:space="preserve">dataset with  a </w:t>
      </w:r>
      <w:r w:rsidRPr="0031763D">
        <w:rPr>
          <w:b/>
          <w:bCs/>
        </w:rPr>
        <w:t>one-to-one</w:t>
      </w:r>
      <w:r>
        <w:t xml:space="preserve"> relationship</w:t>
      </w:r>
    </w:p>
    <w:p w14:paraId="53E138E5" w14:textId="77777777" w:rsidR="0031763D" w:rsidRDefault="0031763D">
      <w:pPr>
        <w:spacing w:after="160"/>
      </w:pPr>
    </w:p>
    <w:p w14:paraId="53FE9579" w14:textId="77777777" w:rsidR="00E83CC5" w:rsidRDefault="00000000">
      <w:pPr>
        <w:pStyle w:val="Heading3"/>
      </w:pPr>
      <w:r>
        <w:t>Anticipated Key Metrics</w:t>
      </w:r>
    </w:p>
    <w:p w14:paraId="68B922A3" w14:textId="32797765" w:rsidR="00E83CC5" w:rsidRDefault="00000000">
      <w:pPr>
        <w:pStyle w:val="ListParagraph"/>
        <w:numPr>
          <w:ilvl w:val="0"/>
          <w:numId w:val="2"/>
        </w:numPr>
        <w:spacing w:after="60"/>
      </w:pPr>
      <w:r>
        <w:t>Order ID, order date</w:t>
      </w:r>
    </w:p>
    <w:p w14:paraId="2172C5B2" w14:textId="77777777" w:rsidR="00E83CC5" w:rsidRDefault="00000000">
      <w:pPr>
        <w:pStyle w:val="ListParagraph"/>
        <w:numPr>
          <w:ilvl w:val="0"/>
          <w:numId w:val="2"/>
        </w:numPr>
        <w:spacing w:after="60"/>
      </w:pPr>
      <w:r>
        <w:t>Product ID, quantity, unit price</w:t>
      </w:r>
    </w:p>
    <w:p w14:paraId="4B170884" w14:textId="77777777" w:rsidR="00E83CC5" w:rsidRDefault="00000000">
      <w:pPr>
        <w:pStyle w:val="ListParagraph"/>
        <w:numPr>
          <w:ilvl w:val="0"/>
          <w:numId w:val="2"/>
        </w:numPr>
        <w:spacing w:after="60"/>
      </w:pPr>
      <w:r>
        <w:t>Revenue, cost, profit margin, discount</w:t>
      </w:r>
    </w:p>
    <w:p w14:paraId="4DAE9B66" w14:textId="77777777" w:rsidR="00E83CC5" w:rsidRDefault="00000000">
      <w:pPr>
        <w:pStyle w:val="ListParagraph"/>
        <w:numPr>
          <w:ilvl w:val="0"/>
          <w:numId w:val="2"/>
        </w:numPr>
        <w:spacing w:after="60"/>
      </w:pPr>
      <w:r>
        <w:t>Promised vs. actual delivery date, delivery status/delay flag</w:t>
      </w:r>
    </w:p>
    <w:p w14:paraId="3E8C8407" w14:textId="77777777" w:rsidR="00E83CC5" w:rsidRDefault="00000000">
      <w:pPr>
        <w:pStyle w:val="Heading3"/>
      </w:pPr>
      <w:r>
        <w:t>Potential Business Use Cases</w:t>
      </w:r>
    </w:p>
    <w:p w14:paraId="2FB1D091" w14:textId="77777777" w:rsidR="00E83CC5" w:rsidRDefault="00000000">
      <w:pPr>
        <w:pStyle w:val="ListParagraph"/>
        <w:numPr>
          <w:ilvl w:val="0"/>
          <w:numId w:val="2"/>
        </w:numPr>
        <w:spacing w:after="60"/>
      </w:pPr>
      <w:r>
        <w:t>Revenue analysis by region, product, or customer segment</w:t>
      </w:r>
    </w:p>
    <w:p w14:paraId="539B2437" w14:textId="77777777" w:rsidR="00E83CC5" w:rsidRDefault="00000000">
      <w:pPr>
        <w:pStyle w:val="ListParagraph"/>
        <w:numPr>
          <w:ilvl w:val="0"/>
          <w:numId w:val="2"/>
        </w:numPr>
        <w:spacing w:after="60"/>
      </w:pPr>
      <w:r>
        <w:t>Demand forecasting at the product or category level</w:t>
      </w:r>
    </w:p>
    <w:p w14:paraId="01C92E25" w14:textId="77777777" w:rsidR="00E83CC5" w:rsidRDefault="00000000">
      <w:pPr>
        <w:pStyle w:val="ListParagraph"/>
        <w:numPr>
          <w:ilvl w:val="0"/>
          <w:numId w:val="2"/>
        </w:numPr>
        <w:spacing w:after="60"/>
      </w:pPr>
      <w:r>
        <w:t>Customer segmentation (e.g., RFM-style analysis)</w:t>
      </w:r>
    </w:p>
    <w:p w14:paraId="1DFC04F4" w14:textId="77777777" w:rsidR="00E83CC5" w:rsidRDefault="00000000">
      <w:pPr>
        <w:pStyle w:val="ListParagraph"/>
        <w:numPr>
          <w:ilvl w:val="0"/>
          <w:numId w:val="2"/>
        </w:numPr>
        <w:spacing w:after="60"/>
      </w:pPr>
      <w:r>
        <w:t>Delivery performance / SLA compliance analysis</w:t>
      </w:r>
    </w:p>
    <w:p w14:paraId="6856D15E" w14:textId="77777777" w:rsidR="00E83CC5" w:rsidRPr="00B12F63" w:rsidRDefault="00000000" w:rsidP="00B12F63">
      <w:pPr>
        <w:rPr>
          <w:b/>
          <w:bCs/>
          <w:color w:val="2F5496" w:themeColor="accent1" w:themeShade="BF"/>
          <w:sz w:val="36"/>
          <w:szCs w:val="36"/>
        </w:rPr>
      </w:pPr>
      <w:r w:rsidRPr="00B12F63">
        <w:rPr>
          <w:b/>
          <w:bCs/>
          <w:color w:val="2F5496" w:themeColor="accent1" w:themeShade="BF"/>
          <w:sz w:val="36"/>
          <w:szCs w:val="36"/>
        </w:rPr>
        <w:t>3.2 Inventory.csv</w:t>
      </w:r>
    </w:p>
    <w:p w14:paraId="65AAF3FD" w14:textId="77777777" w:rsidR="00E83CC5" w:rsidRDefault="00000000">
      <w:pPr>
        <w:pStyle w:val="Heading3"/>
      </w:pPr>
      <w:r>
        <w:t>Dataset Purpose</w:t>
      </w:r>
    </w:p>
    <w:p w14:paraId="6A5F1FE0" w14:textId="77777777" w:rsidR="00E83CC5" w:rsidRDefault="00000000">
      <w:pPr>
        <w:spacing w:after="160"/>
      </w:pPr>
      <w:r>
        <w:t>Tracks stock levels, reorder dynamics, and carrying costs across GlobeNex's 14 warehouses, providing the operational view of how inventory is held and replenished.</w:t>
      </w:r>
    </w:p>
    <w:p w14:paraId="5E56D4F3" w14:textId="77777777" w:rsidR="00E83CC5" w:rsidRDefault="00000000">
      <w:pPr>
        <w:pStyle w:val="Heading3"/>
      </w:pPr>
      <w:r>
        <w:t>Business Context</w:t>
      </w:r>
    </w:p>
    <w:p w14:paraId="443462CA" w14:textId="77777777" w:rsidR="00E83CC5" w:rsidRDefault="00000000">
      <w:pPr>
        <w:spacing w:after="160"/>
      </w:pPr>
      <w:r>
        <w:t>Directly maps to the Inventory Optimization business challenge: GlobeNex simultaneously experiences overstocking in some locations and stockouts in others, both of which show up here as imbalances between stock on hand, safety stock, and reorder points.</w:t>
      </w:r>
    </w:p>
    <w:p w14:paraId="28BECA88" w14:textId="77777777" w:rsidR="00E83CC5" w:rsidRDefault="00000000">
      <w:pPr>
        <w:pStyle w:val="Heading3"/>
      </w:pPr>
      <w:r>
        <w:t>Dataset Relationships</w:t>
      </w:r>
    </w:p>
    <w:p w14:paraId="3D934AC1" w14:textId="2E2A3654" w:rsidR="00B12F63" w:rsidRPr="00B12F63" w:rsidRDefault="00B12F63">
      <w:pPr>
        <w:pStyle w:val="Heading3"/>
        <w:rPr>
          <w:b w:val="0"/>
          <w:bCs w:val="0"/>
          <w:color w:val="000000" w:themeColor="text1"/>
        </w:rPr>
      </w:pPr>
      <w:r w:rsidRPr="00B12F63">
        <w:rPr>
          <w:color w:val="EE0000"/>
        </w:rPr>
        <w:t>Inventory</w:t>
      </w:r>
      <w:r w:rsidRPr="00B12F63">
        <w:rPr>
          <w:b w:val="0"/>
          <w:bCs w:val="0"/>
          <w:color w:val="EE0000"/>
        </w:rPr>
        <w:t xml:space="preserve"> </w:t>
      </w:r>
      <w:r>
        <w:rPr>
          <w:b w:val="0"/>
          <w:bCs w:val="0"/>
          <w:color w:val="000000" w:themeColor="text1"/>
        </w:rPr>
        <w:t xml:space="preserve">links to </w:t>
      </w:r>
      <w:r w:rsidRPr="00B12F63">
        <w:rPr>
          <w:color w:val="C00000"/>
        </w:rPr>
        <w:t>Vendors</w:t>
      </w:r>
      <w:r w:rsidRPr="00B12F63">
        <w:rPr>
          <w:b w:val="0"/>
          <w:bCs w:val="0"/>
          <w:color w:val="C00000"/>
        </w:rPr>
        <w:t xml:space="preserve"> </w:t>
      </w:r>
      <w:r>
        <w:rPr>
          <w:b w:val="0"/>
          <w:bCs w:val="0"/>
          <w:color w:val="000000" w:themeColor="text1"/>
        </w:rPr>
        <w:t xml:space="preserve">with a </w:t>
      </w:r>
      <w:r w:rsidRPr="00B12F63">
        <w:rPr>
          <w:color w:val="000000" w:themeColor="text1"/>
        </w:rPr>
        <w:t>many-to-one</w:t>
      </w:r>
      <w:r>
        <w:rPr>
          <w:b w:val="0"/>
          <w:bCs w:val="0"/>
          <w:color w:val="000000" w:themeColor="text1"/>
        </w:rPr>
        <w:t xml:space="preserve"> relationship</w:t>
      </w:r>
    </w:p>
    <w:p w14:paraId="72639C5E" w14:textId="77777777" w:rsidR="00E83CC5" w:rsidRDefault="00000000">
      <w:pPr>
        <w:pStyle w:val="Heading3"/>
      </w:pPr>
      <w:r>
        <w:t>Anticipated Key Metrics</w:t>
      </w:r>
    </w:p>
    <w:p w14:paraId="7272C08D" w14:textId="77777777" w:rsidR="00E83CC5" w:rsidRDefault="00000000">
      <w:pPr>
        <w:pStyle w:val="ListParagraph"/>
        <w:numPr>
          <w:ilvl w:val="0"/>
          <w:numId w:val="2"/>
        </w:numPr>
        <w:spacing w:after="60"/>
      </w:pPr>
      <w:r>
        <w:t>Warehouse ID, product ID</w:t>
      </w:r>
    </w:p>
    <w:p w14:paraId="3751CB8C" w14:textId="77777777" w:rsidR="00E83CC5" w:rsidRDefault="00000000">
      <w:pPr>
        <w:pStyle w:val="ListParagraph"/>
        <w:numPr>
          <w:ilvl w:val="0"/>
          <w:numId w:val="2"/>
        </w:numPr>
        <w:spacing w:after="60"/>
      </w:pPr>
      <w:r>
        <w:t>Stock on hand, safety stock level, reorder point</w:t>
      </w:r>
    </w:p>
    <w:p w14:paraId="57FA8A1B" w14:textId="77777777" w:rsidR="00E83CC5" w:rsidRDefault="00000000">
      <w:pPr>
        <w:pStyle w:val="ListParagraph"/>
        <w:numPr>
          <w:ilvl w:val="0"/>
          <w:numId w:val="2"/>
        </w:numPr>
        <w:spacing w:after="60"/>
      </w:pPr>
      <w:r>
        <w:t>Vendor lead time</w:t>
      </w:r>
    </w:p>
    <w:p w14:paraId="41911C41" w14:textId="77777777" w:rsidR="00E83CC5" w:rsidRDefault="00000000">
      <w:pPr>
        <w:pStyle w:val="ListParagraph"/>
        <w:numPr>
          <w:ilvl w:val="0"/>
          <w:numId w:val="2"/>
        </w:numPr>
        <w:spacing w:after="60"/>
      </w:pPr>
      <w:r>
        <w:t>Carrying cost, stockout frequency, inventory turnover</w:t>
      </w:r>
    </w:p>
    <w:p w14:paraId="76F5B969" w14:textId="77777777" w:rsidR="00E83CC5" w:rsidRDefault="00000000">
      <w:pPr>
        <w:pStyle w:val="Heading3"/>
      </w:pPr>
      <w:r>
        <w:t>Potential Business Use Cases</w:t>
      </w:r>
    </w:p>
    <w:p w14:paraId="4BD6DC24" w14:textId="1F6A0511" w:rsidR="00E83CC5" w:rsidRDefault="00000000">
      <w:pPr>
        <w:pStyle w:val="ListParagraph"/>
        <w:numPr>
          <w:ilvl w:val="0"/>
          <w:numId w:val="2"/>
        </w:numPr>
        <w:spacing w:after="60"/>
      </w:pPr>
      <w:r>
        <w:t xml:space="preserve">Inventory optimization </w:t>
      </w:r>
    </w:p>
    <w:p w14:paraId="0CC8399B" w14:textId="4151234F" w:rsidR="00E83CC5" w:rsidRDefault="00000000">
      <w:pPr>
        <w:pStyle w:val="ListParagraph"/>
        <w:numPr>
          <w:ilvl w:val="0"/>
          <w:numId w:val="2"/>
        </w:numPr>
        <w:spacing w:after="60"/>
      </w:pPr>
      <w:r>
        <w:t>Stockout prediction by warehouse</w:t>
      </w:r>
    </w:p>
    <w:p w14:paraId="7856B1B1" w14:textId="77777777" w:rsidR="00E83CC5" w:rsidRDefault="00000000">
      <w:pPr>
        <w:pStyle w:val="ListParagraph"/>
        <w:numPr>
          <w:ilvl w:val="0"/>
          <w:numId w:val="2"/>
        </w:numPr>
        <w:spacing w:after="60"/>
      </w:pPr>
      <w:r>
        <w:t>Warehouse-level performance analytics</w:t>
      </w:r>
    </w:p>
    <w:p w14:paraId="61BC1201" w14:textId="77777777" w:rsidR="00E83CC5" w:rsidRPr="00B12F63" w:rsidRDefault="00000000" w:rsidP="00B12F63">
      <w:pPr>
        <w:rPr>
          <w:b/>
          <w:bCs/>
          <w:color w:val="2F5496" w:themeColor="accent1" w:themeShade="BF"/>
          <w:sz w:val="36"/>
          <w:szCs w:val="36"/>
        </w:rPr>
      </w:pPr>
      <w:r w:rsidRPr="00B12F63">
        <w:rPr>
          <w:b/>
          <w:bCs/>
          <w:color w:val="2F5496" w:themeColor="accent1" w:themeShade="BF"/>
          <w:sz w:val="36"/>
          <w:szCs w:val="36"/>
        </w:rPr>
        <w:t>3.3 Vendors.csv</w:t>
      </w:r>
    </w:p>
    <w:p w14:paraId="070BA9C0" w14:textId="77777777" w:rsidR="00E83CC5" w:rsidRDefault="00000000">
      <w:pPr>
        <w:pStyle w:val="Heading3"/>
      </w:pPr>
      <w:r>
        <w:t>Dataset Purpose</w:t>
      </w:r>
    </w:p>
    <w:p w14:paraId="657BE81D" w14:textId="77777777" w:rsidR="00E83CC5" w:rsidRDefault="00000000">
      <w:pPr>
        <w:spacing w:after="160"/>
      </w:pPr>
      <w:r>
        <w:t>Captures performance scores, procurement metrics, risk indicators, and lead times for GlobeNex's 1,200+ vendors — the supplier side of the supply chain.</w:t>
      </w:r>
    </w:p>
    <w:p w14:paraId="5D8497AB" w14:textId="77777777" w:rsidR="00E83CC5" w:rsidRDefault="00000000">
      <w:pPr>
        <w:pStyle w:val="Heading3"/>
      </w:pPr>
      <w:r>
        <w:t>Business Context</w:t>
      </w:r>
    </w:p>
    <w:p w14:paraId="42BB73FB" w14:textId="77777777" w:rsidR="00E83CC5" w:rsidRDefault="00000000">
      <w:pPr>
        <w:spacing w:after="160"/>
      </w:pPr>
      <w:r>
        <w:lastRenderedPageBreak/>
        <w:t>Directly maps to the Vendor Risk Management business challenge: supplier dependency, inconsistent performance, and procurement disruption all originate from patterns in this dataset.</w:t>
      </w:r>
    </w:p>
    <w:p w14:paraId="2C5D3D80" w14:textId="77777777" w:rsidR="00E83CC5" w:rsidRDefault="00000000">
      <w:pPr>
        <w:pStyle w:val="Heading3"/>
      </w:pPr>
      <w:r>
        <w:t>Dataset Relationships</w:t>
      </w:r>
    </w:p>
    <w:p w14:paraId="100D1EC3" w14:textId="76359B4B" w:rsidR="00E83CC5" w:rsidRDefault="00000000">
      <w:pPr>
        <w:spacing w:after="160"/>
      </w:pPr>
      <w:r w:rsidRPr="00B12F63">
        <w:rPr>
          <w:b/>
          <w:bCs/>
          <w:color w:val="C00000"/>
        </w:rPr>
        <w:t>Vendors</w:t>
      </w:r>
      <w:r w:rsidRPr="00B12F63">
        <w:rPr>
          <w:color w:val="C00000"/>
        </w:rPr>
        <w:t xml:space="preserve"> </w:t>
      </w:r>
      <w:r w:rsidR="00B12F63">
        <w:t xml:space="preserve">links with </w:t>
      </w:r>
      <w:r w:rsidR="00B12F63" w:rsidRPr="00B12F63">
        <w:rPr>
          <w:b/>
          <w:bCs/>
          <w:color w:val="EE0000"/>
        </w:rPr>
        <w:t>Financials</w:t>
      </w:r>
      <w:r w:rsidR="00B12F63" w:rsidRPr="00B12F63">
        <w:rPr>
          <w:color w:val="EE0000"/>
        </w:rPr>
        <w:t xml:space="preserve"> </w:t>
      </w:r>
      <w:r w:rsidR="00B12F63">
        <w:t xml:space="preserve">with a </w:t>
      </w:r>
      <w:r w:rsidR="00B12F63" w:rsidRPr="00B12F63">
        <w:rPr>
          <w:b/>
          <w:bCs/>
        </w:rPr>
        <w:t>One-to-One</w:t>
      </w:r>
      <w:r w:rsidR="00B12F63">
        <w:t xml:space="preserve"> relationship</w:t>
      </w:r>
    </w:p>
    <w:p w14:paraId="6261C859" w14:textId="77777777" w:rsidR="00E83CC5" w:rsidRDefault="00000000">
      <w:pPr>
        <w:pStyle w:val="Heading3"/>
      </w:pPr>
      <w:r>
        <w:t>Anticipated Key Metrics</w:t>
      </w:r>
    </w:p>
    <w:p w14:paraId="5C4FF04C" w14:textId="77777777" w:rsidR="00E83CC5" w:rsidRDefault="00000000">
      <w:pPr>
        <w:pStyle w:val="ListParagraph"/>
        <w:numPr>
          <w:ilvl w:val="0"/>
          <w:numId w:val="2"/>
        </w:numPr>
        <w:spacing w:after="60"/>
      </w:pPr>
      <w:r>
        <w:t>Vendor ID, vendor name/region</w:t>
      </w:r>
    </w:p>
    <w:p w14:paraId="01C27804" w14:textId="77777777" w:rsidR="00E83CC5" w:rsidRDefault="00000000">
      <w:pPr>
        <w:pStyle w:val="ListParagraph"/>
        <w:numPr>
          <w:ilvl w:val="0"/>
          <w:numId w:val="2"/>
        </w:numPr>
        <w:spacing w:after="60"/>
      </w:pPr>
      <w:r>
        <w:t>Performance score, on-time delivery rate, quality/defect rate</w:t>
      </w:r>
    </w:p>
    <w:p w14:paraId="1C82F437" w14:textId="77777777" w:rsidR="00E83CC5" w:rsidRDefault="00000000">
      <w:pPr>
        <w:pStyle w:val="ListParagraph"/>
        <w:numPr>
          <w:ilvl w:val="0"/>
          <w:numId w:val="2"/>
        </w:numPr>
        <w:spacing w:after="60"/>
      </w:pPr>
      <w:r>
        <w:t>Lead time</w:t>
      </w:r>
    </w:p>
    <w:p w14:paraId="66DFB5C0" w14:textId="77777777" w:rsidR="00E83CC5" w:rsidRDefault="00000000">
      <w:pPr>
        <w:pStyle w:val="ListParagraph"/>
        <w:numPr>
          <w:ilvl w:val="0"/>
          <w:numId w:val="2"/>
        </w:numPr>
        <w:spacing w:after="60"/>
      </w:pPr>
      <w:r>
        <w:t>Risk indicator/score, procurement spend</w:t>
      </w:r>
    </w:p>
    <w:p w14:paraId="2F4C7A71" w14:textId="77777777" w:rsidR="00E83CC5" w:rsidRDefault="00000000">
      <w:pPr>
        <w:pStyle w:val="Heading3"/>
      </w:pPr>
      <w:r>
        <w:t>Potential Business Use Cases</w:t>
      </w:r>
    </w:p>
    <w:p w14:paraId="240205E9" w14:textId="77777777" w:rsidR="00E83CC5" w:rsidRDefault="00000000">
      <w:pPr>
        <w:pStyle w:val="ListParagraph"/>
        <w:numPr>
          <w:ilvl w:val="0"/>
          <w:numId w:val="2"/>
        </w:numPr>
        <w:spacing w:after="60"/>
      </w:pPr>
      <w:r>
        <w:t>Vendor risk scoring and supplier performance ranking</w:t>
      </w:r>
    </w:p>
    <w:p w14:paraId="7CA992B5" w14:textId="77777777" w:rsidR="00E83CC5" w:rsidRDefault="00000000">
      <w:pPr>
        <w:pStyle w:val="ListParagraph"/>
        <w:numPr>
          <w:ilvl w:val="0"/>
          <w:numId w:val="2"/>
        </w:numPr>
        <w:spacing w:after="60"/>
      </w:pPr>
      <w:r>
        <w:t>Procurement optimization and renegotiation prioritization</w:t>
      </w:r>
    </w:p>
    <w:p w14:paraId="106E2C82" w14:textId="77777777" w:rsidR="00E83CC5" w:rsidRDefault="00000000">
      <w:pPr>
        <w:pStyle w:val="ListParagraph"/>
        <w:numPr>
          <w:ilvl w:val="0"/>
          <w:numId w:val="2"/>
        </w:numPr>
        <w:spacing w:after="60"/>
      </w:pPr>
      <w:r>
        <w:t>Identifying single-source / concentration risk</w:t>
      </w:r>
    </w:p>
    <w:p w14:paraId="6DAE295A" w14:textId="77777777" w:rsidR="00E83CC5" w:rsidRDefault="00000000">
      <w:pPr>
        <w:pStyle w:val="ListParagraph"/>
        <w:numPr>
          <w:ilvl w:val="0"/>
          <w:numId w:val="2"/>
        </w:numPr>
        <w:spacing w:after="60"/>
      </w:pPr>
      <w:r>
        <w:t>Early-warning monitoring for at-risk vendors</w:t>
      </w:r>
    </w:p>
    <w:p w14:paraId="4D754F64" w14:textId="77777777" w:rsidR="00E83CC5" w:rsidRPr="00B12F63" w:rsidRDefault="00000000" w:rsidP="00B12F63">
      <w:pPr>
        <w:rPr>
          <w:b/>
          <w:bCs/>
          <w:color w:val="2F5496" w:themeColor="accent1" w:themeShade="BF"/>
          <w:sz w:val="36"/>
          <w:szCs w:val="36"/>
        </w:rPr>
      </w:pPr>
      <w:r w:rsidRPr="00B12F63">
        <w:rPr>
          <w:b/>
          <w:bCs/>
          <w:color w:val="2F5496" w:themeColor="accent1" w:themeShade="BF"/>
          <w:sz w:val="36"/>
          <w:szCs w:val="36"/>
        </w:rPr>
        <w:t>3.4 Logistics.csv</w:t>
      </w:r>
    </w:p>
    <w:p w14:paraId="2873862C" w14:textId="77777777" w:rsidR="00E83CC5" w:rsidRDefault="00000000">
      <w:pPr>
        <w:pStyle w:val="Heading3"/>
      </w:pPr>
      <w:r>
        <w:t>Dataset Purpose</w:t>
      </w:r>
    </w:p>
    <w:p w14:paraId="72EF0D77" w14:textId="77777777" w:rsidR="00E83CC5" w:rsidRDefault="00000000">
      <w:pPr>
        <w:spacing w:after="160"/>
      </w:pPr>
      <w:r>
        <w:t>Records shipment-level transportation data — routes, carriers, costs, and delivery performance — covering the physical movement of goods from vendors to warehouses and from warehouses to customers.</w:t>
      </w:r>
    </w:p>
    <w:p w14:paraId="57E47302" w14:textId="77777777" w:rsidR="00E83CC5" w:rsidRDefault="00000000">
      <w:pPr>
        <w:pStyle w:val="Heading3"/>
      </w:pPr>
      <w:r>
        <w:t>Business Context</w:t>
      </w:r>
    </w:p>
    <w:p w14:paraId="721CF967" w14:textId="77777777" w:rsidR="00E83CC5" w:rsidRDefault="00000000">
      <w:pPr>
        <w:spacing w:after="160"/>
      </w:pPr>
      <w:r>
        <w:t>Directly maps to the Logistics Performance business challenge: route inefficiencies, weather disruptions, carrier variability, and rising transportation costs are all visible at the shipment level here.</w:t>
      </w:r>
    </w:p>
    <w:p w14:paraId="5C98D0EA" w14:textId="77777777" w:rsidR="00E83CC5" w:rsidRDefault="00000000">
      <w:pPr>
        <w:pStyle w:val="Heading3"/>
      </w:pPr>
      <w:r>
        <w:t>Dataset Relationships</w:t>
      </w:r>
    </w:p>
    <w:p w14:paraId="15D5FA10" w14:textId="2B42BC5F" w:rsidR="00B12F63" w:rsidRPr="00B12F63" w:rsidRDefault="00B12F63">
      <w:pPr>
        <w:pStyle w:val="Heading3"/>
        <w:rPr>
          <w:b w:val="0"/>
          <w:bCs w:val="0"/>
          <w:color w:val="000000" w:themeColor="text1"/>
        </w:rPr>
      </w:pPr>
      <w:r w:rsidRPr="00B12F63">
        <w:rPr>
          <w:color w:val="C00000"/>
        </w:rPr>
        <w:t xml:space="preserve">Logistics </w:t>
      </w:r>
      <w:r>
        <w:rPr>
          <w:b w:val="0"/>
          <w:bCs w:val="0"/>
          <w:color w:val="000000" w:themeColor="text1"/>
        </w:rPr>
        <w:t xml:space="preserve">links with </w:t>
      </w:r>
      <w:r w:rsidRPr="00B12F63">
        <w:rPr>
          <w:color w:val="EE0000"/>
        </w:rPr>
        <w:t>Financials</w:t>
      </w:r>
      <w:r w:rsidRPr="00B12F63">
        <w:rPr>
          <w:b w:val="0"/>
          <w:bCs w:val="0"/>
          <w:color w:val="EE0000"/>
        </w:rPr>
        <w:t xml:space="preserve"> </w:t>
      </w:r>
      <w:r>
        <w:rPr>
          <w:b w:val="0"/>
          <w:bCs w:val="0"/>
          <w:color w:val="000000" w:themeColor="text1"/>
        </w:rPr>
        <w:t xml:space="preserve">with a </w:t>
      </w:r>
      <w:r w:rsidRPr="00B12F63">
        <w:rPr>
          <w:color w:val="000000" w:themeColor="text1"/>
        </w:rPr>
        <w:t>one-to-one</w:t>
      </w:r>
      <w:r>
        <w:rPr>
          <w:b w:val="0"/>
          <w:bCs w:val="0"/>
          <w:color w:val="000000" w:themeColor="text1"/>
        </w:rPr>
        <w:t xml:space="preserve"> relationship</w:t>
      </w:r>
    </w:p>
    <w:p w14:paraId="4DF3A778" w14:textId="77777777" w:rsidR="00E83CC5" w:rsidRDefault="00000000">
      <w:pPr>
        <w:pStyle w:val="Heading3"/>
      </w:pPr>
      <w:r>
        <w:t>Anticipated Key Metrics</w:t>
      </w:r>
    </w:p>
    <w:p w14:paraId="176C8561" w14:textId="77777777" w:rsidR="00E83CC5" w:rsidRDefault="00000000">
      <w:pPr>
        <w:pStyle w:val="ListParagraph"/>
        <w:numPr>
          <w:ilvl w:val="0"/>
          <w:numId w:val="2"/>
        </w:numPr>
        <w:spacing w:after="60"/>
      </w:pPr>
      <w:r>
        <w:t>Shipment ID, related order ID</w:t>
      </w:r>
    </w:p>
    <w:p w14:paraId="3945AB76" w14:textId="77777777" w:rsidR="00E83CC5" w:rsidRDefault="00000000">
      <w:pPr>
        <w:pStyle w:val="ListParagraph"/>
        <w:numPr>
          <w:ilvl w:val="0"/>
          <w:numId w:val="2"/>
        </w:numPr>
        <w:spacing w:after="60"/>
      </w:pPr>
      <w:r>
        <w:t>Carrier, route/origin-destination</w:t>
      </w:r>
    </w:p>
    <w:p w14:paraId="40CFA3CF" w14:textId="77777777" w:rsidR="00E83CC5" w:rsidRDefault="00000000">
      <w:pPr>
        <w:pStyle w:val="ListParagraph"/>
        <w:numPr>
          <w:ilvl w:val="0"/>
          <w:numId w:val="2"/>
        </w:numPr>
        <w:spacing w:after="60"/>
      </w:pPr>
      <w:r>
        <w:t>Transportation cost, distance</w:t>
      </w:r>
    </w:p>
    <w:p w14:paraId="78CC2326" w14:textId="77777777" w:rsidR="00E83CC5" w:rsidRDefault="00000000">
      <w:pPr>
        <w:pStyle w:val="ListParagraph"/>
        <w:numPr>
          <w:ilvl w:val="0"/>
          <w:numId w:val="2"/>
        </w:numPr>
        <w:spacing w:after="60"/>
      </w:pPr>
      <w:r>
        <w:t>Planned vs. actual delivery date, delay duration, weather/disruption flag</w:t>
      </w:r>
    </w:p>
    <w:p w14:paraId="4A6D58AC" w14:textId="77777777" w:rsidR="00E83CC5" w:rsidRDefault="00000000">
      <w:pPr>
        <w:pStyle w:val="Heading3"/>
      </w:pPr>
      <w:r>
        <w:t>Potential Business Use Cases</w:t>
      </w:r>
    </w:p>
    <w:p w14:paraId="5FEF9FAA" w14:textId="77777777" w:rsidR="00E83CC5" w:rsidRDefault="00000000">
      <w:pPr>
        <w:pStyle w:val="ListParagraph"/>
        <w:numPr>
          <w:ilvl w:val="0"/>
          <w:numId w:val="2"/>
        </w:numPr>
        <w:spacing w:after="60"/>
      </w:pPr>
      <w:r>
        <w:t>Delivery delay prediction</w:t>
      </w:r>
    </w:p>
    <w:p w14:paraId="06CD2D27" w14:textId="77777777" w:rsidR="00E83CC5" w:rsidRDefault="00000000">
      <w:pPr>
        <w:pStyle w:val="ListParagraph"/>
        <w:numPr>
          <w:ilvl w:val="0"/>
          <w:numId w:val="2"/>
        </w:numPr>
        <w:spacing w:after="60"/>
      </w:pPr>
      <w:r>
        <w:t>Route optimization</w:t>
      </w:r>
    </w:p>
    <w:p w14:paraId="0849F655" w14:textId="77777777" w:rsidR="00E83CC5" w:rsidRDefault="00000000">
      <w:pPr>
        <w:pStyle w:val="ListParagraph"/>
        <w:numPr>
          <w:ilvl w:val="0"/>
          <w:numId w:val="2"/>
        </w:numPr>
        <w:spacing w:after="60"/>
      </w:pPr>
      <w:r>
        <w:t>Carrier performance benchmarking</w:t>
      </w:r>
    </w:p>
    <w:p w14:paraId="187BC118" w14:textId="78DCEE92" w:rsidR="00E83CC5" w:rsidRDefault="00000000">
      <w:pPr>
        <w:pStyle w:val="ListParagraph"/>
        <w:numPr>
          <w:ilvl w:val="0"/>
          <w:numId w:val="2"/>
        </w:numPr>
        <w:spacing w:after="60"/>
      </w:pPr>
      <w:r>
        <w:t>Logistics cost analysis and cost-driver identification</w:t>
      </w:r>
    </w:p>
    <w:p w14:paraId="38296DB3" w14:textId="77777777" w:rsidR="00B12F63" w:rsidRDefault="00B12F63" w:rsidP="00B12F63">
      <w:pPr>
        <w:spacing w:after="60"/>
      </w:pPr>
    </w:p>
    <w:p w14:paraId="48BDDC13" w14:textId="77777777" w:rsidR="00B12F63" w:rsidRDefault="00B12F63" w:rsidP="00B12F63">
      <w:pPr>
        <w:spacing w:after="60"/>
      </w:pPr>
    </w:p>
    <w:p w14:paraId="7F7AD12A" w14:textId="77777777" w:rsidR="00B12F63" w:rsidRDefault="00B12F63" w:rsidP="00B12F63">
      <w:pPr>
        <w:spacing w:after="60"/>
      </w:pPr>
    </w:p>
    <w:p w14:paraId="7F432C87" w14:textId="77777777" w:rsidR="00B12F63" w:rsidRDefault="00B12F63" w:rsidP="00B12F63">
      <w:pPr>
        <w:spacing w:after="60"/>
      </w:pPr>
    </w:p>
    <w:p w14:paraId="5EAB819F" w14:textId="77777777" w:rsidR="00E83CC5" w:rsidRPr="00B12F63" w:rsidRDefault="00000000" w:rsidP="00B12F63">
      <w:pPr>
        <w:rPr>
          <w:b/>
          <w:bCs/>
          <w:color w:val="2F5496" w:themeColor="accent1" w:themeShade="BF"/>
          <w:sz w:val="40"/>
          <w:szCs w:val="40"/>
        </w:rPr>
      </w:pPr>
      <w:r w:rsidRPr="00B12F63">
        <w:rPr>
          <w:b/>
          <w:bCs/>
          <w:color w:val="2F5496" w:themeColor="accent1" w:themeShade="BF"/>
          <w:sz w:val="40"/>
          <w:szCs w:val="40"/>
        </w:rPr>
        <w:t>3.5 Financials.csv</w:t>
      </w:r>
    </w:p>
    <w:p w14:paraId="74988AAC" w14:textId="77777777" w:rsidR="00E83CC5" w:rsidRDefault="00000000">
      <w:pPr>
        <w:pStyle w:val="Heading3"/>
      </w:pPr>
      <w:r>
        <w:t>Dataset Purpose</w:t>
      </w:r>
    </w:p>
    <w:p w14:paraId="1B0CE77E" w14:textId="2C63D803" w:rsidR="00E83CC5" w:rsidRDefault="00000000">
      <w:pPr>
        <w:spacing w:after="160"/>
      </w:pPr>
      <w:r>
        <w:t>Provides the financial and operational revenue, costs, working capital, cash flow, and financial risk indicators  that reflects the downstream financial impact of activity in the other four datasets.</w:t>
      </w:r>
    </w:p>
    <w:p w14:paraId="59197BC1" w14:textId="77777777" w:rsidR="00E83CC5" w:rsidRDefault="00000000">
      <w:pPr>
        <w:pStyle w:val="Heading3"/>
      </w:pPr>
      <w:r>
        <w:t>Business Context</w:t>
      </w:r>
    </w:p>
    <w:p w14:paraId="41AD70AE" w14:textId="77777777" w:rsidR="00E83CC5" w:rsidRDefault="00000000">
      <w:pPr>
        <w:spacing w:after="160"/>
      </w:pPr>
      <w:r>
        <w:t>Directly maps to the Financial Risk Analytics business challenge: cash flow uncertainty, working capital constraints, procurement cost escalation, and revenue leakage are all financial-statement-level consequences of operational decisions made elsewhere in the platform.</w:t>
      </w:r>
    </w:p>
    <w:p w14:paraId="35C8ADAF" w14:textId="77777777" w:rsidR="00E83CC5" w:rsidRDefault="00000000">
      <w:pPr>
        <w:pStyle w:val="Heading3"/>
      </w:pPr>
      <w:r>
        <w:t>Dataset Relationships</w:t>
      </w:r>
    </w:p>
    <w:p w14:paraId="6EBBF0AE" w14:textId="77777777" w:rsidR="00E83CC5" w:rsidRDefault="00000000">
      <w:pPr>
        <w:spacing w:after="160"/>
      </w:pPr>
      <w:r>
        <w:t>Acts as the aggregation point for the other four datasets: revenue traces back to Orders.csv, procurement cost to Vendors.csv, carrying cost to Inventory.csv, and transportation cost to Logistics.csv.</w:t>
      </w:r>
    </w:p>
    <w:p w14:paraId="3B0D48CF" w14:textId="77777777" w:rsidR="00E83CC5" w:rsidRDefault="00000000">
      <w:pPr>
        <w:pStyle w:val="Heading3"/>
      </w:pPr>
      <w:r>
        <w:t>Anticipated Key Metrics</w:t>
      </w:r>
    </w:p>
    <w:p w14:paraId="07AF01F2" w14:textId="77777777" w:rsidR="00E83CC5" w:rsidRDefault="00000000">
      <w:pPr>
        <w:pStyle w:val="ListParagraph"/>
        <w:numPr>
          <w:ilvl w:val="0"/>
          <w:numId w:val="2"/>
        </w:numPr>
        <w:spacing w:after="60"/>
      </w:pPr>
      <w:r>
        <w:t>Reporting period/date</w:t>
      </w:r>
    </w:p>
    <w:p w14:paraId="5FEA6519" w14:textId="77777777" w:rsidR="00E83CC5" w:rsidRDefault="00000000">
      <w:pPr>
        <w:pStyle w:val="ListParagraph"/>
        <w:numPr>
          <w:ilvl w:val="0"/>
          <w:numId w:val="2"/>
        </w:numPr>
        <w:spacing w:after="60"/>
      </w:pPr>
      <w:r>
        <w:t>Revenue, cost of goods sold, operating costs</w:t>
      </w:r>
    </w:p>
    <w:p w14:paraId="3E355529" w14:textId="77777777" w:rsidR="00E83CC5" w:rsidRDefault="00000000">
      <w:pPr>
        <w:pStyle w:val="ListParagraph"/>
        <w:numPr>
          <w:ilvl w:val="0"/>
          <w:numId w:val="2"/>
        </w:numPr>
        <w:spacing w:after="60"/>
      </w:pPr>
      <w:r>
        <w:t>Working capital, cash flow</w:t>
      </w:r>
    </w:p>
    <w:p w14:paraId="1F10E102" w14:textId="77777777" w:rsidR="00E83CC5" w:rsidRDefault="00000000">
      <w:pPr>
        <w:pStyle w:val="ListParagraph"/>
        <w:numPr>
          <w:ilvl w:val="0"/>
          <w:numId w:val="2"/>
        </w:numPr>
        <w:spacing w:after="60"/>
      </w:pPr>
      <w:r>
        <w:t>Accounts receivable/payable, financial risk score, profit margin</w:t>
      </w:r>
    </w:p>
    <w:p w14:paraId="6594DEC5" w14:textId="77777777" w:rsidR="00E83CC5" w:rsidRDefault="00000000">
      <w:pPr>
        <w:pStyle w:val="Heading3"/>
      </w:pPr>
      <w:r>
        <w:t>Potential Business Use Cases</w:t>
      </w:r>
    </w:p>
    <w:p w14:paraId="1B330BA1" w14:textId="77777777" w:rsidR="00E83CC5" w:rsidRDefault="00000000">
      <w:pPr>
        <w:pStyle w:val="ListParagraph"/>
        <w:numPr>
          <w:ilvl w:val="0"/>
          <w:numId w:val="2"/>
        </w:numPr>
        <w:spacing w:after="60"/>
      </w:pPr>
      <w:r>
        <w:t>Financial forecasting (cash flow, working capital)</w:t>
      </w:r>
    </w:p>
    <w:p w14:paraId="1051CDB9" w14:textId="77777777" w:rsidR="00E83CC5" w:rsidRDefault="00000000">
      <w:pPr>
        <w:pStyle w:val="ListParagraph"/>
        <w:numPr>
          <w:ilvl w:val="0"/>
          <w:numId w:val="2"/>
        </w:numPr>
        <w:spacing w:after="60"/>
      </w:pPr>
      <w:r>
        <w:t>Profitability analysis by segment, product, or region</w:t>
      </w:r>
    </w:p>
    <w:p w14:paraId="2D4DE875" w14:textId="77777777" w:rsidR="00E83CC5" w:rsidRDefault="00000000">
      <w:pPr>
        <w:pStyle w:val="ListParagraph"/>
        <w:numPr>
          <w:ilvl w:val="0"/>
          <w:numId w:val="2"/>
        </w:numPr>
        <w:spacing w:after="60"/>
      </w:pPr>
      <w:r>
        <w:t>Cash flow analytics and liquidity monitoring</w:t>
      </w:r>
    </w:p>
    <w:p w14:paraId="20DB9777" w14:textId="77777777" w:rsidR="00E83CC5" w:rsidRDefault="00000000">
      <w:pPr>
        <w:pStyle w:val="ListParagraph"/>
        <w:numPr>
          <w:ilvl w:val="0"/>
          <w:numId w:val="2"/>
        </w:numPr>
        <w:spacing w:after="60"/>
      </w:pPr>
      <w:r>
        <w:t>Financial risk scoring and early-warning indicators</w:t>
      </w:r>
    </w:p>
    <w:p w14:paraId="234E643C" w14:textId="77777777" w:rsidR="00E83CC5" w:rsidRDefault="00000000">
      <w:pPr>
        <w:pStyle w:val="Heading1"/>
      </w:pPr>
      <w:r>
        <w:t>4. Cross-Dataset Relationships</w:t>
      </w:r>
    </w:p>
    <w:p w14:paraId="11680786" w14:textId="0D62B01A" w:rsidR="00E83CC5" w:rsidRDefault="00000000">
      <w:pPr>
        <w:spacing w:after="160"/>
      </w:pPr>
      <w:r>
        <w:t xml:space="preserve">The five datasets are not independent — they form a connected operational chain.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E83CC5" w14:paraId="52F903EA" w14:textId="77777777" w:rsidTr="009A396C">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C45911" w:themeFill="accent2" w:themeFillShade="BF"/>
            <w:tcMar>
              <w:top w:w="100" w:type="dxa"/>
              <w:left w:w="140" w:type="dxa"/>
              <w:bottom w:w="100" w:type="dxa"/>
              <w:right w:w="140" w:type="dxa"/>
            </w:tcMar>
            <w:vAlign w:val="center"/>
          </w:tcPr>
          <w:p w14:paraId="5EF55C38" w14:textId="77777777" w:rsidR="00E83CC5" w:rsidRPr="009A396C" w:rsidRDefault="00000000">
            <w:pPr>
              <w:rPr>
                <w:color w:val="000000" w:themeColor="text1"/>
              </w:rPr>
            </w:pPr>
            <w:r w:rsidRPr="009A396C">
              <w:rPr>
                <w:b/>
                <w:bCs/>
                <w:color w:val="000000" w:themeColor="text1"/>
                <w:sz w:val="21"/>
                <w:szCs w:val="21"/>
              </w:rPr>
              <w:t>From</w:t>
            </w:r>
          </w:p>
        </w:tc>
        <w:tc>
          <w:tcPr>
            <w:tcW w:w="2200" w:type="dxa"/>
            <w:tcBorders>
              <w:top w:val="single" w:sz="1" w:space="0" w:color="CCCCCC"/>
              <w:left w:val="single" w:sz="1" w:space="0" w:color="CCCCCC"/>
              <w:bottom w:val="single" w:sz="1" w:space="0" w:color="CCCCCC"/>
              <w:right w:val="single" w:sz="1" w:space="0" w:color="CCCCCC"/>
            </w:tcBorders>
            <w:shd w:val="clear" w:color="auto" w:fill="C45911" w:themeFill="accent2" w:themeFillShade="BF"/>
            <w:tcMar>
              <w:top w:w="100" w:type="dxa"/>
              <w:left w:w="140" w:type="dxa"/>
              <w:bottom w:w="100" w:type="dxa"/>
              <w:right w:w="140" w:type="dxa"/>
            </w:tcMar>
            <w:vAlign w:val="center"/>
          </w:tcPr>
          <w:p w14:paraId="05DFC78F" w14:textId="77777777" w:rsidR="00E83CC5" w:rsidRPr="009A396C" w:rsidRDefault="00000000">
            <w:pPr>
              <w:rPr>
                <w:color w:val="000000" w:themeColor="text1"/>
              </w:rPr>
            </w:pPr>
            <w:r w:rsidRPr="009A396C">
              <w:rPr>
                <w:b/>
                <w:bCs/>
                <w:color w:val="000000" w:themeColor="text1"/>
                <w:sz w:val="21"/>
                <w:szCs w:val="21"/>
              </w:rPr>
              <w:t>To</w:t>
            </w:r>
          </w:p>
        </w:tc>
        <w:tc>
          <w:tcPr>
            <w:tcW w:w="4960" w:type="dxa"/>
            <w:tcBorders>
              <w:top w:val="single" w:sz="1" w:space="0" w:color="CCCCCC"/>
              <w:left w:val="single" w:sz="1" w:space="0" w:color="CCCCCC"/>
              <w:bottom w:val="single" w:sz="1" w:space="0" w:color="CCCCCC"/>
              <w:right w:val="single" w:sz="1" w:space="0" w:color="CCCCCC"/>
            </w:tcBorders>
            <w:shd w:val="clear" w:color="auto" w:fill="C45911" w:themeFill="accent2" w:themeFillShade="BF"/>
            <w:tcMar>
              <w:top w:w="100" w:type="dxa"/>
              <w:left w:w="140" w:type="dxa"/>
              <w:bottom w:w="100" w:type="dxa"/>
              <w:right w:w="140" w:type="dxa"/>
            </w:tcMar>
            <w:vAlign w:val="center"/>
          </w:tcPr>
          <w:p w14:paraId="74F76C0C" w14:textId="77777777" w:rsidR="00E83CC5" w:rsidRPr="009A396C" w:rsidRDefault="00000000">
            <w:pPr>
              <w:rPr>
                <w:color w:val="000000" w:themeColor="text1"/>
              </w:rPr>
            </w:pPr>
            <w:r w:rsidRPr="009A396C">
              <w:rPr>
                <w:b/>
                <w:bCs/>
                <w:color w:val="000000" w:themeColor="text1"/>
                <w:sz w:val="21"/>
                <w:szCs w:val="21"/>
              </w:rPr>
              <w:t>Likely Connection</w:t>
            </w:r>
          </w:p>
        </w:tc>
      </w:tr>
      <w:tr w:rsidR="00E83CC5" w14:paraId="526E6396"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6181614" w14:textId="77777777" w:rsidR="00E83CC5" w:rsidRDefault="00000000">
            <w:r>
              <w:rPr>
                <w:color w:val="000000"/>
                <w:sz w:val="21"/>
                <w:szCs w:val="21"/>
              </w:rPr>
              <w:t>Orders</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513D096" w14:textId="77777777" w:rsidR="00E83CC5" w:rsidRDefault="00000000">
            <w:r>
              <w:rPr>
                <w:color w:val="000000"/>
                <w:sz w:val="21"/>
                <w:szCs w:val="21"/>
              </w:rPr>
              <w:t>Inventory</w:t>
            </w:r>
          </w:p>
        </w:tc>
        <w:tc>
          <w:tcPr>
            <w:tcW w:w="4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435E3BB" w14:textId="1C73CA47" w:rsidR="00E83CC5" w:rsidRDefault="00AC066D">
            <w:r>
              <w:t xml:space="preserve">Orders contains products and the products are handled in the inventory </w:t>
            </w:r>
          </w:p>
        </w:tc>
      </w:tr>
      <w:tr w:rsidR="00E83CC5" w14:paraId="0A82AC73"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FEF457C" w14:textId="77777777" w:rsidR="00E83CC5" w:rsidRDefault="00000000">
            <w:r>
              <w:rPr>
                <w:color w:val="000000"/>
                <w:sz w:val="21"/>
                <w:szCs w:val="21"/>
              </w:rPr>
              <w:t>Orders</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94997A3" w14:textId="77777777" w:rsidR="00E83CC5" w:rsidRDefault="00000000">
            <w:r>
              <w:rPr>
                <w:color w:val="000000"/>
                <w:sz w:val="21"/>
                <w:szCs w:val="21"/>
              </w:rPr>
              <w:t>Logistics</w:t>
            </w:r>
          </w:p>
        </w:tc>
        <w:tc>
          <w:tcPr>
            <w:tcW w:w="4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74B3024" w14:textId="77777777" w:rsidR="00E83CC5" w:rsidRDefault="00000000">
            <w:r>
              <w:rPr>
                <w:color w:val="000000"/>
                <w:sz w:val="21"/>
                <w:szCs w:val="21"/>
              </w:rPr>
              <w:t>Each order generates one or more shipments to the customer</w:t>
            </w:r>
          </w:p>
        </w:tc>
      </w:tr>
      <w:tr w:rsidR="00E83CC5" w14:paraId="4989E673"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21E634F" w14:textId="77777777" w:rsidR="00E83CC5" w:rsidRDefault="00000000">
            <w:r>
              <w:rPr>
                <w:color w:val="000000"/>
                <w:sz w:val="21"/>
                <w:szCs w:val="21"/>
              </w:rPr>
              <w:t>Orders</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2D4BBFE" w14:textId="77777777" w:rsidR="00E83CC5" w:rsidRDefault="00000000">
            <w:r>
              <w:rPr>
                <w:color w:val="000000"/>
                <w:sz w:val="21"/>
                <w:szCs w:val="21"/>
              </w:rPr>
              <w:t>Financials</w:t>
            </w:r>
          </w:p>
        </w:tc>
        <w:tc>
          <w:tcPr>
            <w:tcW w:w="4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63CE77F" w14:textId="77777777" w:rsidR="00E83CC5" w:rsidRDefault="00000000">
            <w:r>
              <w:rPr>
                <w:color w:val="000000"/>
                <w:sz w:val="21"/>
                <w:szCs w:val="21"/>
              </w:rPr>
              <w:t>Order revenue and cost roll up into period-level financial figures</w:t>
            </w:r>
          </w:p>
        </w:tc>
      </w:tr>
      <w:tr w:rsidR="00E83CC5" w14:paraId="752B4641"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A5AB885" w14:textId="77777777" w:rsidR="00E83CC5" w:rsidRDefault="00000000">
            <w:r>
              <w:rPr>
                <w:color w:val="000000"/>
                <w:sz w:val="21"/>
                <w:szCs w:val="21"/>
              </w:rPr>
              <w:t>Vendors</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565B1FE" w14:textId="77777777" w:rsidR="00E83CC5" w:rsidRDefault="00000000">
            <w:r>
              <w:rPr>
                <w:color w:val="000000"/>
                <w:sz w:val="21"/>
                <w:szCs w:val="21"/>
              </w:rPr>
              <w:t>Inventory</w:t>
            </w:r>
          </w:p>
        </w:tc>
        <w:tc>
          <w:tcPr>
            <w:tcW w:w="4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96A116C" w14:textId="77777777" w:rsidR="00E83CC5" w:rsidRDefault="00000000">
            <w:r>
              <w:rPr>
                <w:color w:val="000000"/>
                <w:sz w:val="21"/>
                <w:szCs w:val="21"/>
              </w:rPr>
              <w:t>Vendor lead times and reliability drive reorder timing and safety stock needs</w:t>
            </w:r>
          </w:p>
        </w:tc>
      </w:tr>
      <w:tr w:rsidR="00E83CC5" w14:paraId="48858B01"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8332CB8" w14:textId="77777777" w:rsidR="00E83CC5" w:rsidRDefault="00000000">
            <w:r>
              <w:rPr>
                <w:color w:val="000000"/>
                <w:sz w:val="21"/>
                <w:szCs w:val="21"/>
              </w:rPr>
              <w:lastRenderedPageBreak/>
              <w:t>Vendors</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E47411E" w14:textId="77777777" w:rsidR="00E83CC5" w:rsidRDefault="00000000">
            <w:r>
              <w:rPr>
                <w:color w:val="000000"/>
                <w:sz w:val="21"/>
                <w:szCs w:val="21"/>
              </w:rPr>
              <w:t>Logistics</w:t>
            </w:r>
          </w:p>
        </w:tc>
        <w:tc>
          <w:tcPr>
            <w:tcW w:w="4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E9A1789" w14:textId="72E35999" w:rsidR="00E83CC5" w:rsidRDefault="00000000">
            <w:r>
              <w:rPr>
                <w:color w:val="000000"/>
                <w:sz w:val="21"/>
                <w:szCs w:val="21"/>
              </w:rPr>
              <w:t>shipments from vendors are tracked as logistics events</w:t>
            </w:r>
          </w:p>
        </w:tc>
      </w:tr>
      <w:tr w:rsidR="00E83CC5" w14:paraId="01F91FC9"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63293F5" w14:textId="77777777" w:rsidR="00E83CC5" w:rsidRDefault="00000000">
            <w:r>
              <w:rPr>
                <w:color w:val="000000"/>
                <w:sz w:val="21"/>
                <w:szCs w:val="21"/>
              </w:rPr>
              <w:t>Vendors</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D62FBBE" w14:textId="77777777" w:rsidR="00E83CC5" w:rsidRDefault="00000000">
            <w:r>
              <w:rPr>
                <w:color w:val="000000"/>
                <w:sz w:val="21"/>
                <w:szCs w:val="21"/>
              </w:rPr>
              <w:t>Financials</w:t>
            </w:r>
          </w:p>
        </w:tc>
        <w:tc>
          <w:tcPr>
            <w:tcW w:w="4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960646A" w14:textId="77777777" w:rsidR="00E83CC5" w:rsidRDefault="00000000">
            <w:r>
              <w:rPr>
                <w:color w:val="000000"/>
                <w:sz w:val="21"/>
                <w:szCs w:val="21"/>
              </w:rPr>
              <w:t>Procurement spend by vendor rolls up into cost of goods sold and working capital</w:t>
            </w:r>
          </w:p>
        </w:tc>
      </w:tr>
      <w:tr w:rsidR="00E83CC5" w14:paraId="5E0A8CDF"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D451D70" w14:textId="77777777" w:rsidR="00E83CC5" w:rsidRDefault="00000000">
            <w:r>
              <w:rPr>
                <w:color w:val="000000"/>
                <w:sz w:val="21"/>
                <w:szCs w:val="21"/>
              </w:rPr>
              <w:t>Inventory</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F872D1A" w14:textId="77777777" w:rsidR="00E83CC5" w:rsidRDefault="00000000">
            <w:r>
              <w:rPr>
                <w:color w:val="000000"/>
                <w:sz w:val="21"/>
                <w:szCs w:val="21"/>
              </w:rPr>
              <w:t>Financials</w:t>
            </w:r>
          </w:p>
        </w:tc>
        <w:tc>
          <w:tcPr>
            <w:tcW w:w="4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FDA2001" w14:textId="10631D9B" w:rsidR="00E83CC5" w:rsidRDefault="00000000">
            <w:r>
              <w:rPr>
                <w:color w:val="000000"/>
                <w:sz w:val="21"/>
                <w:szCs w:val="21"/>
              </w:rPr>
              <w:t xml:space="preserve">Carrying costs and stock valuation </w:t>
            </w:r>
            <w:r w:rsidR="00AC066D">
              <w:rPr>
                <w:color w:val="000000"/>
                <w:sz w:val="21"/>
                <w:szCs w:val="21"/>
              </w:rPr>
              <w:t xml:space="preserve">roll up </w:t>
            </w:r>
            <w:r>
              <w:rPr>
                <w:color w:val="000000"/>
                <w:sz w:val="21"/>
                <w:szCs w:val="21"/>
              </w:rPr>
              <w:t>into working capital figures</w:t>
            </w:r>
          </w:p>
        </w:tc>
      </w:tr>
      <w:tr w:rsidR="00E83CC5" w14:paraId="7FDCF7F2"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5CB1DED" w14:textId="77777777" w:rsidR="00E83CC5" w:rsidRDefault="00000000">
            <w:r>
              <w:rPr>
                <w:color w:val="000000"/>
                <w:sz w:val="21"/>
                <w:szCs w:val="21"/>
              </w:rPr>
              <w:t>Logistics</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C4801E9" w14:textId="77777777" w:rsidR="00E83CC5" w:rsidRDefault="00000000">
            <w:r>
              <w:rPr>
                <w:color w:val="000000"/>
                <w:sz w:val="21"/>
                <w:szCs w:val="21"/>
              </w:rPr>
              <w:t>Financials</w:t>
            </w:r>
          </w:p>
        </w:tc>
        <w:tc>
          <w:tcPr>
            <w:tcW w:w="4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17E284E" w14:textId="77777777" w:rsidR="00E83CC5" w:rsidRDefault="00000000">
            <w:r>
              <w:rPr>
                <w:color w:val="000000"/>
                <w:sz w:val="21"/>
                <w:szCs w:val="21"/>
              </w:rPr>
              <w:t>Transportation costs roll up into operating costs</w:t>
            </w:r>
          </w:p>
        </w:tc>
      </w:tr>
    </w:tbl>
    <w:p w14:paraId="1D21457A" w14:textId="77777777" w:rsidR="00E83CC5" w:rsidRDefault="00000000">
      <w:pPr>
        <w:pStyle w:val="Heading1"/>
      </w:pPr>
      <w:r>
        <w:t>5. Key Metrics Summary</w:t>
      </w:r>
    </w:p>
    <w:p w14:paraId="20731783" w14:textId="77777777" w:rsidR="00E83CC5" w:rsidRDefault="00000000">
      <w:pPr>
        <w:spacing w:after="160"/>
      </w:pPr>
      <w:r>
        <w:t>Across the five datasets, the metrics below are expected to be the most analytically important — the ones most likely to feed KPIs, dashboards, and model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83CC5" w14:paraId="4E30A894" w14:textId="77777777" w:rsidTr="009A396C">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C45911" w:themeFill="accent2" w:themeFillShade="BF"/>
            <w:tcMar>
              <w:top w:w="100" w:type="dxa"/>
              <w:left w:w="140" w:type="dxa"/>
              <w:bottom w:w="100" w:type="dxa"/>
              <w:right w:w="140" w:type="dxa"/>
            </w:tcMar>
            <w:vAlign w:val="center"/>
          </w:tcPr>
          <w:p w14:paraId="7A59CD49" w14:textId="77777777" w:rsidR="00E83CC5" w:rsidRPr="009A396C" w:rsidRDefault="00000000">
            <w:pPr>
              <w:rPr>
                <w:color w:val="000000" w:themeColor="text1"/>
              </w:rPr>
            </w:pPr>
            <w:r w:rsidRPr="009A396C">
              <w:rPr>
                <w:b/>
                <w:bCs/>
                <w:color w:val="000000" w:themeColor="text1"/>
                <w:sz w:val="21"/>
                <w:szCs w:val="21"/>
              </w:rPr>
              <w:t>Dataset</w:t>
            </w:r>
          </w:p>
        </w:tc>
        <w:tc>
          <w:tcPr>
            <w:tcW w:w="7160" w:type="dxa"/>
            <w:tcBorders>
              <w:top w:val="single" w:sz="1" w:space="0" w:color="CCCCCC"/>
              <w:left w:val="single" w:sz="1" w:space="0" w:color="CCCCCC"/>
              <w:bottom w:val="single" w:sz="1" w:space="0" w:color="CCCCCC"/>
              <w:right w:val="single" w:sz="1" w:space="0" w:color="CCCCCC"/>
            </w:tcBorders>
            <w:shd w:val="clear" w:color="auto" w:fill="C45911" w:themeFill="accent2" w:themeFillShade="BF"/>
            <w:tcMar>
              <w:top w:w="100" w:type="dxa"/>
              <w:left w:w="140" w:type="dxa"/>
              <w:bottom w:w="100" w:type="dxa"/>
              <w:right w:w="140" w:type="dxa"/>
            </w:tcMar>
            <w:vAlign w:val="center"/>
          </w:tcPr>
          <w:p w14:paraId="62255B69" w14:textId="77777777" w:rsidR="00E83CC5" w:rsidRPr="009A396C" w:rsidRDefault="00000000">
            <w:pPr>
              <w:rPr>
                <w:color w:val="000000" w:themeColor="text1"/>
              </w:rPr>
            </w:pPr>
            <w:r w:rsidRPr="009A396C">
              <w:rPr>
                <w:b/>
                <w:bCs/>
                <w:color w:val="000000" w:themeColor="text1"/>
                <w:sz w:val="21"/>
                <w:szCs w:val="21"/>
              </w:rPr>
              <w:t>Headline Metrics</w:t>
            </w:r>
          </w:p>
        </w:tc>
      </w:tr>
      <w:tr w:rsidR="00E83CC5" w14:paraId="48085E41"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BC02303" w14:textId="77777777" w:rsidR="00E83CC5" w:rsidRDefault="00000000">
            <w:r>
              <w:rPr>
                <w:color w:val="000000"/>
                <w:sz w:val="21"/>
                <w:szCs w:val="21"/>
              </w:rPr>
              <w:t>Orders</w:t>
            </w:r>
          </w:p>
        </w:tc>
        <w:tc>
          <w:tcPr>
            <w:tcW w:w="7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50BFD7C" w14:textId="77777777" w:rsidR="00E83CC5" w:rsidRDefault="00000000">
            <w:r>
              <w:rPr>
                <w:color w:val="000000"/>
                <w:sz w:val="21"/>
                <w:szCs w:val="21"/>
              </w:rPr>
              <w:t>Revenue, profit margin, order volume, on-time delivery rate</w:t>
            </w:r>
          </w:p>
        </w:tc>
      </w:tr>
      <w:tr w:rsidR="00E83CC5" w14:paraId="6F6FEC44"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414C626" w14:textId="77777777" w:rsidR="00E83CC5" w:rsidRDefault="00000000">
            <w:r>
              <w:rPr>
                <w:color w:val="000000"/>
                <w:sz w:val="21"/>
                <w:szCs w:val="21"/>
              </w:rPr>
              <w:t>Inventory</w:t>
            </w:r>
          </w:p>
        </w:tc>
        <w:tc>
          <w:tcPr>
            <w:tcW w:w="7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024DD0" w14:textId="15625AA1" w:rsidR="00E83CC5" w:rsidRDefault="00AC066D">
            <w:r>
              <w:rPr>
                <w:color w:val="000000"/>
                <w:sz w:val="21"/>
                <w:szCs w:val="21"/>
              </w:rPr>
              <w:t>Overstocking rate, stockout rate, carrying cost</w:t>
            </w:r>
          </w:p>
        </w:tc>
      </w:tr>
      <w:tr w:rsidR="00E83CC5" w14:paraId="66DEDA8A"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3C7E663" w14:textId="77777777" w:rsidR="00E83CC5" w:rsidRDefault="00000000">
            <w:r>
              <w:rPr>
                <w:color w:val="000000"/>
                <w:sz w:val="21"/>
                <w:szCs w:val="21"/>
              </w:rPr>
              <w:t>Vendors</w:t>
            </w:r>
          </w:p>
        </w:tc>
        <w:tc>
          <w:tcPr>
            <w:tcW w:w="7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6DE3D35" w14:textId="793B9E2A" w:rsidR="00E83CC5" w:rsidRDefault="00000000">
            <w:r>
              <w:rPr>
                <w:color w:val="000000"/>
                <w:sz w:val="21"/>
                <w:szCs w:val="21"/>
              </w:rPr>
              <w:t>Vendor performance score, on-time delivery rate, risk score</w:t>
            </w:r>
          </w:p>
        </w:tc>
      </w:tr>
      <w:tr w:rsidR="00E83CC5" w14:paraId="725BEAEC"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E72DA7E" w14:textId="77777777" w:rsidR="00E83CC5" w:rsidRDefault="00000000">
            <w:r>
              <w:rPr>
                <w:color w:val="000000"/>
                <w:sz w:val="21"/>
                <w:szCs w:val="21"/>
              </w:rPr>
              <w:t>Logistics</w:t>
            </w:r>
          </w:p>
        </w:tc>
        <w:tc>
          <w:tcPr>
            <w:tcW w:w="7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734DF00" w14:textId="7F2F9CA0" w:rsidR="00E83CC5" w:rsidRDefault="00000000">
            <w:r>
              <w:rPr>
                <w:color w:val="000000"/>
                <w:sz w:val="21"/>
                <w:szCs w:val="21"/>
              </w:rPr>
              <w:t>Delivery delay rate, transportation cost per shipment, route efficiency</w:t>
            </w:r>
            <w:r w:rsidR="00AC066D">
              <w:rPr>
                <w:color w:val="000000"/>
                <w:sz w:val="21"/>
                <w:szCs w:val="21"/>
              </w:rPr>
              <w:t xml:space="preserve"> </w:t>
            </w:r>
          </w:p>
        </w:tc>
      </w:tr>
      <w:tr w:rsidR="00E83CC5" w14:paraId="5BC069EB"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B505D77" w14:textId="77777777" w:rsidR="00E83CC5" w:rsidRDefault="00000000">
            <w:r>
              <w:rPr>
                <w:color w:val="000000"/>
                <w:sz w:val="21"/>
                <w:szCs w:val="21"/>
              </w:rPr>
              <w:t>Financials</w:t>
            </w:r>
          </w:p>
        </w:tc>
        <w:tc>
          <w:tcPr>
            <w:tcW w:w="7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51E7020" w14:textId="6098B191" w:rsidR="00E83CC5" w:rsidRDefault="00000000">
            <w:r>
              <w:rPr>
                <w:color w:val="000000"/>
                <w:sz w:val="21"/>
                <w:szCs w:val="21"/>
              </w:rPr>
              <w:t>Revenue, working capital, financial risk score</w:t>
            </w:r>
          </w:p>
        </w:tc>
      </w:tr>
    </w:tbl>
    <w:p w14:paraId="0ED06E76" w14:textId="77777777" w:rsidR="00E83CC5" w:rsidRDefault="00000000">
      <w:pPr>
        <w:pStyle w:val="Heading1"/>
      </w:pPr>
      <w:r>
        <w:t>6. Potential Business Use Cases by Challenge</w:t>
      </w:r>
    </w:p>
    <w:p w14:paraId="6D2A6647" w14:textId="77777777" w:rsidR="00E83CC5" w:rsidRDefault="00000000">
      <w:pPr>
        <w:spacing w:after="160"/>
      </w:pPr>
      <w:r>
        <w:t>Mapping anticipated use cases back to the four business challenges from Task 1 keeps the dataset work tied to the engagement's actual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60"/>
      </w:tblGrid>
      <w:tr w:rsidR="00E83CC5" w14:paraId="114E512E" w14:textId="77777777" w:rsidTr="009A396C">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C45911" w:themeFill="accent2" w:themeFillShade="BF"/>
            <w:tcMar>
              <w:top w:w="100" w:type="dxa"/>
              <w:left w:w="140" w:type="dxa"/>
              <w:bottom w:w="100" w:type="dxa"/>
              <w:right w:w="140" w:type="dxa"/>
            </w:tcMar>
            <w:vAlign w:val="center"/>
          </w:tcPr>
          <w:p w14:paraId="0EA2A197" w14:textId="77777777" w:rsidR="00E83CC5" w:rsidRPr="009A396C" w:rsidRDefault="00000000">
            <w:pPr>
              <w:rPr>
                <w:color w:val="000000" w:themeColor="text1"/>
              </w:rPr>
            </w:pPr>
            <w:r w:rsidRPr="009A396C">
              <w:rPr>
                <w:b/>
                <w:bCs/>
                <w:color w:val="000000" w:themeColor="text1"/>
                <w:sz w:val="21"/>
                <w:szCs w:val="21"/>
              </w:rPr>
              <w:t>Business Challenge</w:t>
            </w:r>
          </w:p>
        </w:tc>
        <w:tc>
          <w:tcPr>
            <w:tcW w:w="2600" w:type="dxa"/>
            <w:tcBorders>
              <w:top w:val="single" w:sz="1" w:space="0" w:color="CCCCCC"/>
              <w:left w:val="single" w:sz="1" w:space="0" w:color="CCCCCC"/>
              <w:bottom w:val="single" w:sz="1" w:space="0" w:color="CCCCCC"/>
              <w:right w:val="single" w:sz="1" w:space="0" w:color="CCCCCC"/>
            </w:tcBorders>
            <w:shd w:val="clear" w:color="auto" w:fill="C45911" w:themeFill="accent2" w:themeFillShade="BF"/>
            <w:tcMar>
              <w:top w:w="100" w:type="dxa"/>
              <w:left w:w="140" w:type="dxa"/>
              <w:bottom w:w="100" w:type="dxa"/>
              <w:right w:w="140" w:type="dxa"/>
            </w:tcMar>
            <w:vAlign w:val="center"/>
          </w:tcPr>
          <w:p w14:paraId="101DD1A2" w14:textId="77777777" w:rsidR="00E83CC5" w:rsidRPr="009A396C" w:rsidRDefault="00000000">
            <w:pPr>
              <w:rPr>
                <w:color w:val="000000" w:themeColor="text1"/>
              </w:rPr>
            </w:pPr>
            <w:r w:rsidRPr="009A396C">
              <w:rPr>
                <w:b/>
                <w:bCs/>
                <w:color w:val="000000" w:themeColor="text1"/>
                <w:sz w:val="21"/>
                <w:szCs w:val="21"/>
              </w:rPr>
              <w:t>Primary Dataset(s)</w:t>
            </w:r>
          </w:p>
        </w:tc>
        <w:tc>
          <w:tcPr>
            <w:tcW w:w="4160" w:type="dxa"/>
            <w:tcBorders>
              <w:top w:val="single" w:sz="1" w:space="0" w:color="CCCCCC"/>
              <w:left w:val="single" w:sz="1" w:space="0" w:color="CCCCCC"/>
              <w:bottom w:val="single" w:sz="1" w:space="0" w:color="CCCCCC"/>
              <w:right w:val="single" w:sz="1" w:space="0" w:color="CCCCCC"/>
            </w:tcBorders>
            <w:shd w:val="clear" w:color="auto" w:fill="C45911" w:themeFill="accent2" w:themeFillShade="BF"/>
            <w:tcMar>
              <w:top w:w="100" w:type="dxa"/>
              <w:left w:w="140" w:type="dxa"/>
              <w:bottom w:w="100" w:type="dxa"/>
              <w:right w:w="140" w:type="dxa"/>
            </w:tcMar>
            <w:vAlign w:val="center"/>
          </w:tcPr>
          <w:p w14:paraId="62FFFB08" w14:textId="77777777" w:rsidR="00E83CC5" w:rsidRPr="009A396C" w:rsidRDefault="00000000">
            <w:pPr>
              <w:rPr>
                <w:color w:val="000000" w:themeColor="text1"/>
              </w:rPr>
            </w:pPr>
            <w:r w:rsidRPr="009A396C">
              <w:rPr>
                <w:b/>
                <w:bCs/>
                <w:color w:val="000000" w:themeColor="text1"/>
                <w:sz w:val="21"/>
                <w:szCs w:val="21"/>
              </w:rPr>
              <w:t>Example Use Case</w:t>
            </w:r>
          </w:p>
        </w:tc>
      </w:tr>
      <w:tr w:rsidR="00E83CC5" w14:paraId="624D8A2A"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48CFB13" w14:textId="77777777" w:rsidR="00E83CC5" w:rsidRDefault="00000000">
            <w:r>
              <w:rPr>
                <w:color w:val="000000"/>
                <w:sz w:val="21"/>
                <w:szCs w:val="21"/>
              </w:rPr>
              <w:t>Vendor Risk Management</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F88C592" w14:textId="77777777" w:rsidR="00E83CC5" w:rsidRDefault="00000000">
            <w:r>
              <w:rPr>
                <w:color w:val="000000"/>
                <w:sz w:val="21"/>
                <w:szCs w:val="21"/>
              </w:rPr>
              <w:t>Vendors</w:t>
            </w:r>
          </w:p>
        </w:tc>
        <w:tc>
          <w:tcPr>
            <w:tcW w:w="4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D103853" w14:textId="77777777" w:rsidR="00E83CC5" w:rsidRDefault="00000000">
            <w:r>
              <w:rPr>
                <w:color w:val="000000"/>
                <w:sz w:val="21"/>
                <w:szCs w:val="21"/>
              </w:rPr>
              <w:t>Vendor risk scoring and supplier performance ranking</w:t>
            </w:r>
          </w:p>
        </w:tc>
      </w:tr>
      <w:tr w:rsidR="00E83CC5" w14:paraId="70D739B9"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3BA4812" w14:textId="77777777" w:rsidR="00E83CC5" w:rsidRDefault="00000000">
            <w:r>
              <w:rPr>
                <w:color w:val="000000"/>
                <w:sz w:val="21"/>
                <w:szCs w:val="21"/>
              </w:rPr>
              <w:t>Inventory Optimization</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6BBA13" w14:textId="77777777" w:rsidR="00E83CC5" w:rsidRDefault="00000000">
            <w:r>
              <w:rPr>
                <w:color w:val="000000"/>
                <w:sz w:val="21"/>
                <w:szCs w:val="21"/>
              </w:rPr>
              <w:t>Inventory, Orders</w:t>
            </w:r>
          </w:p>
        </w:tc>
        <w:tc>
          <w:tcPr>
            <w:tcW w:w="4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BCE3515" w14:textId="77777777" w:rsidR="00E83CC5" w:rsidRDefault="00000000">
            <w:r>
              <w:rPr>
                <w:color w:val="000000"/>
                <w:sz w:val="21"/>
                <w:szCs w:val="21"/>
              </w:rPr>
              <w:t>Stockout prediction and safety-stock optimization</w:t>
            </w:r>
          </w:p>
        </w:tc>
      </w:tr>
      <w:tr w:rsidR="00E83CC5" w14:paraId="11748176"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BCE58E9" w14:textId="77777777" w:rsidR="00E83CC5" w:rsidRDefault="00000000">
            <w:r>
              <w:rPr>
                <w:color w:val="000000"/>
                <w:sz w:val="21"/>
                <w:szCs w:val="21"/>
              </w:rPr>
              <w:t>Logistics Performance</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63588F0" w14:textId="77777777" w:rsidR="00E83CC5" w:rsidRDefault="00000000">
            <w:r>
              <w:rPr>
                <w:color w:val="000000"/>
                <w:sz w:val="21"/>
                <w:szCs w:val="21"/>
              </w:rPr>
              <w:t>Logistics, Orders</w:t>
            </w:r>
          </w:p>
        </w:tc>
        <w:tc>
          <w:tcPr>
            <w:tcW w:w="4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ED30BB2" w14:textId="77777777" w:rsidR="00E83CC5" w:rsidRDefault="00000000">
            <w:r>
              <w:rPr>
                <w:color w:val="000000"/>
                <w:sz w:val="21"/>
                <w:szCs w:val="21"/>
              </w:rPr>
              <w:t>Delivery delay prediction and route optimization</w:t>
            </w:r>
          </w:p>
        </w:tc>
      </w:tr>
      <w:tr w:rsidR="00E83CC5" w14:paraId="64DEC616" w14:textId="77777777">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D973E85" w14:textId="77777777" w:rsidR="00E83CC5" w:rsidRDefault="00000000">
            <w:r>
              <w:rPr>
                <w:color w:val="000000"/>
                <w:sz w:val="21"/>
                <w:szCs w:val="21"/>
              </w:rPr>
              <w:t>Financial Risk Analytics</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E464610" w14:textId="77777777" w:rsidR="00E83CC5" w:rsidRDefault="00000000">
            <w:r>
              <w:rPr>
                <w:color w:val="000000"/>
                <w:sz w:val="21"/>
                <w:szCs w:val="21"/>
              </w:rPr>
              <w:t>Financials, all others</w:t>
            </w:r>
          </w:p>
        </w:tc>
        <w:tc>
          <w:tcPr>
            <w:tcW w:w="4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8FAB42C" w14:textId="77777777" w:rsidR="00E83CC5" w:rsidRDefault="00000000">
            <w:r>
              <w:rPr>
                <w:color w:val="000000"/>
                <w:sz w:val="21"/>
                <w:szCs w:val="21"/>
              </w:rPr>
              <w:t>Cash flow forecasting and financial risk scoring</w:t>
            </w:r>
          </w:p>
        </w:tc>
      </w:tr>
    </w:tbl>
    <w:p w14:paraId="56EAB96A" w14:textId="14E2C7F7" w:rsidR="00E83CC5" w:rsidRDefault="00E83CC5">
      <w:pPr>
        <w:pStyle w:val="ListParagraph"/>
        <w:numPr>
          <w:ilvl w:val="0"/>
          <w:numId w:val="2"/>
        </w:numPr>
        <w:spacing w:after="60"/>
      </w:pPr>
    </w:p>
    <w:sectPr w:rsidR="00E83CC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07F6BF" w14:textId="77777777" w:rsidR="00E56CC2" w:rsidRDefault="00E56CC2">
      <w:r>
        <w:separator/>
      </w:r>
    </w:p>
  </w:endnote>
  <w:endnote w:type="continuationSeparator" w:id="0">
    <w:p w14:paraId="7459FC00" w14:textId="77777777" w:rsidR="00E56CC2" w:rsidRDefault="00E56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51D782" w14:textId="77777777" w:rsidR="00E83CC5" w:rsidRDefault="00000000">
    <w:pPr>
      <w:jc w:val="center"/>
    </w:pPr>
    <w:r>
      <w:t xml:space="preserve">Page </w:t>
    </w:r>
    <w:r>
      <w:fldChar w:fldCharType="begin"/>
    </w:r>
    <w:r>
      <w:instrText>PAGE</w:instrText>
    </w:r>
    <w:r>
      <w:fldChar w:fldCharType="separate"/>
    </w:r>
    <w:r w:rsidR="007346D1">
      <w:rPr>
        <w:noProof/>
      </w:rPr>
      <w:t>1</w:t>
    </w:r>
    <w:r>
      <w:fldChar w:fldCharType="end"/>
    </w:r>
    <w:r>
      <w:t xml:space="preserve"> of </w:t>
    </w:r>
    <w:r>
      <w:fldChar w:fldCharType="begin"/>
    </w:r>
    <w:r>
      <w:instrText>NUMPAGES</w:instrText>
    </w:r>
    <w:r>
      <w:fldChar w:fldCharType="separate"/>
    </w:r>
    <w:r w:rsidR="007346D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1A2507" w14:textId="77777777" w:rsidR="00E56CC2" w:rsidRDefault="00E56CC2">
      <w:r>
        <w:separator/>
      </w:r>
    </w:p>
  </w:footnote>
  <w:footnote w:type="continuationSeparator" w:id="0">
    <w:p w14:paraId="3FD3F6EA" w14:textId="77777777" w:rsidR="00E56CC2" w:rsidRDefault="00E56C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797583" w14:textId="77777777" w:rsidR="00E83CC5" w:rsidRDefault="00000000">
    <w:pPr>
      <w:jc w:val="right"/>
    </w:pPr>
    <w:r>
      <w:rPr>
        <w:color w:val="595959"/>
        <w:sz w:val="16"/>
        <w:szCs w:val="16"/>
      </w:rPr>
      <w:t>NexaChain Intelligence Platform | Dataset Understanding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CE068D"/>
    <w:multiLevelType w:val="hybridMultilevel"/>
    <w:tmpl w:val="0396C95C"/>
    <w:lvl w:ilvl="0" w:tplc="4FBAF666">
      <w:start w:val="1"/>
      <w:numFmt w:val="bullet"/>
      <w:lvlText w:val="•"/>
      <w:lvlJc w:val="left"/>
      <w:pPr>
        <w:ind w:left="460" w:hanging="260"/>
      </w:pPr>
    </w:lvl>
    <w:lvl w:ilvl="1" w:tplc="594AD748">
      <w:numFmt w:val="decimal"/>
      <w:lvlText w:val=""/>
      <w:lvlJc w:val="left"/>
    </w:lvl>
    <w:lvl w:ilvl="2" w:tplc="80DE6152">
      <w:numFmt w:val="decimal"/>
      <w:lvlText w:val=""/>
      <w:lvlJc w:val="left"/>
    </w:lvl>
    <w:lvl w:ilvl="3" w:tplc="DA740BDC">
      <w:numFmt w:val="decimal"/>
      <w:lvlText w:val=""/>
      <w:lvlJc w:val="left"/>
    </w:lvl>
    <w:lvl w:ilvl="4" w:tplc="34589BAC">
      <w:numFmt w:val="decimal"/>
      <w:lvlText w:val=""/>
      <w:lvlJc w:val="left"/>
    </w:lvl>
    <w:lvl w:ilvl="5" w:tplc="ACFA6472">
      <w:numFmt w:val="decimal"/>
      <w:lvlText w:val=""/>
      <w:lvlJc w:val="left"/>
    </w:lvl>
    <w:lvl w:ilvl="6" w:tplc="C71C257C">
      <w:numFmt w:val="decimal"/>
      <w:lvlText w:val=""/>
      <w:lvlJc w:val="left"/>
    </w:lvl>
    <w:lvl w:ilvl="7" w:tplc="84FAC91E">
      <w:numFmt w:val="decimal"/>
      <w:lvlText w:val=""/>
      <w:lvlJc w:val="left"/>
    </w:lvl>
    <w:lvl w:ilvl="8" w:tplc="0534E904">
      <w:numFmt w:val="decimal"/>
      <w:lvlText w:val=""/>
      <w:lvlJc w:val="left"/>
    </w:lvl>
  </w:abstractNum>
  <w:abstractNum w:abstractNumId="1" w15:restartNumberingAfterBreak="0">
    <w:nsid w:val="14DD0C9B"/>
    <w:multiLevelType w:val="hybridMultilevel"/>
    <w:tmpl w:val="6F5478DE"/>
    <w:lvl w:ilvl="0" w:tplc="709EF1E8">
      <w:start w:val="1"/>
      <w:numFmt w:val="bullet"/>
      <w:lvlText w:val="●"/>
      <w:lvlJc w:val="left"/>
      <w:pPr>
        <w:ind w:left="720" w:hanging="360"/>
      </w:pPr>
    </w:lvl>
    <w:lvl w:ilvl="1" w:tplc="0FF6C8AC">
      <w:start w:val="1"/>
      <w:numFmt w:val="bullet"/>
      <w:lvlText w:val="○"/>
      <w:lvlJc w:val="left"/>
      <w:pPr>
        <w:ind w:left="1440" w:hanging="360"/>
      </w:pPr>
    </w:lvl>
    <w:lvl w:ilvl="2" w:tplc="FCAE4BF8">
      <w:start w:val="1"/>
      <w:numFmt w:val="bullet"/>
      <w:lvlText w:val="■"/>
      <w:lvlJc w:val="left"/>
      <w:pPr>
        <w:ind w:left="2160" w:hanging="360"/>
      </w:pPr>
    </w:lvl>
    <w:lvl w:ilvl="3" w:tplc="FEBAE58A">
      <w:start w:val="1"/>
      <w:numFmt w:val="bullet"/>
      <w:lvlText w:val="●"/>
      <w:lvlJc w:val="left"/>
      <w:pPr>
        <w:ind w:left="2880" w:hanging="360"/>
      </w:pPr>
    </w:lvl>
    <w:lvl w:ilvl="4" w:tplc="784094FE">
      <w:start w:val="1"/>
      <w:numFmt w:val="bullet"/>
      <w:lvlText w:val="○"/>
      <w:lvlJc w:val="left"/>
      <w:pPr>
        <w:ind w:left="3600" w:hanging="360"/>
      </w:pPr>
    </w:lvl>
    <w:lvl w:ilvl="5" w:tplc="6C52F87E">
      <w:start w:val="1"/>
      <w:numFmt w:val="bullet"/>
      <w:lvlText w:val="■"/>
      <w:lvlJc w:val="left"/>
      <w:pPr>
        <w:ind w:left="4320" w:hanging="360"/>
      </w:pPr>
    </w:lvl>
    <w:lvl w:ilvl="6" w:tplc="A8684F10">
      <w:start w:val="1"/>
      <w:numFmt w:val="bullet"/>
      <w:lvlText w:val="●"/>
      <w:lvlJc w:val="left"/>
      <w:pPr>
        <w:ind w:left="5040" w:hanging="360"/>
      </w:pPr>
    </w:lvl>
    <w:lvl w:ilvl="7" w:tplc="A050A0EA">
      <w:start w:val="1"/>
      <w:numFmt w:val="bullet"/>
      <w:lvlText w:val="●"/>
      <w:lvlJc w:val="left"/>
      <w:pPr>
        <w:ind w:left="5760" w:hanging="360"/>
      </w:pPr>
    </w:lvl>
    <w:lvl w:ilvl="8" w:tplc="CE2E38D6">
      <w:start w:val="1"/>
      <w:numFmt w:val="bullet"/>
      <w:lvlText w:val="●"/>
      <w:lvlJc w:val="left"/>
      <w:pPr>
        <w:ind w:left="6480" w:hanging="360"/>
      </w:pPr>
    </w:lvl>
  </w:abstractNum>
  <w:num w:numId="1" w16cid:durableId="1098215186">
    <w:abstractNumId w:val="1"/>
    <w:lvlOverride w:ilvl="0">
      <w:startOverride w:val="1"/>
    </w:lvlOverride>
  </w:num>
  <w:num w:numId="2" w16cid:durableId="203399709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CC5"/>
    <w:rsid w:val="00145D05"/>
    <w:rsid w:val="002E0EE8"/>
    <w:rsid w:val="0031763D"/>
    <w:rsid w:val="007346D1"/>
    <w:rsid w:val="009A396C"/>
    <w:rsid w:val="00AC066D"/>
    <w:rsid w:val="00B12F63"/>
    <w:rsid w:val="00E56CC2"/>
    <w:rsid w:val="00E83CC5"/>
    <w:rsid w:val="00FF5CF8"/>
  </w:rsids>
  <m:mathPr>
    <m:mathFont m:val="Cambria Math"/>
    <m:brkBin m:val="before"/>
    <m:brkBinSub m:val="--"/>
    <m:smallFrac m:val="0"/>
    <m:dispDef/>
    <m:lMargin m:val="0"/>
    <m:rMargin m:val="0"/>
    <m:defJc m:val="centerGroup"/>
    <m:wrapIndent m:val="1440"/>
    <m:intLim m:val="subSup"/>
    <m:naryLim m:val="undOvr"/>
  </m:mathPr>
  <w:themeFontLang w:val="en-MA" w:bidi="ar-SA"/>
  <w:clrSchemeMapping w:bg1="light1" w:t1="dark1" w:bg2="light2" w:t2="dark2" w:accent1="accent1" w:accent2="accent2" w:accent3="accent3" w:accent4="accent4" w:accent5="accent5" w:accent6="accent6" w:hyperlink="hyperlink" w:followedHyperlink="followedHyperlink"/>
  <w:decimalSymbol w:val=","/>
  <w:listSeparator w:val=","/>
  <w14:docId w14:val="337D0F74"/>
  <w15:docId w15:val="{8EF57A09-4917-D049-A065-CDADA5F24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sz w:val="22"/>
        <w:szCs w:val="22"/>
        <w:lang w:val="en-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hd w:val="clear" w:color="auto" w:fill="2E75B6"/>
      <w:spacing w:before="280" w:after="140"/>
      <w:outlineLvl w:val="1"/>
    </w:pPr>
    <w:rPr>
      <w:b/>
      <w:bCs/>
      <w:color w:val="FFFFFF"/>
      <w:sz w:val="25"/>
      <w:szCs w:val="25"/>
    </w:rPr>
  </w:style>
  <w:style w:type="paragraph" w:styleId="Heading3">
    <w:name w:val="heading 3"/>
    <w:uiPriority w:val="9"/>
    <w:unhideWhenUsed/>
    <w:qFormat/>
    <w:pPr>
      <w:spacing w:before="180" w:after="9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1038</Words>
  <Characters>6962</Characters>
  <Application>Microsoft Office Word</Application>
  <DocSecurity>0</DocSecurity>
  <Lines>217</Lines>
  <Paragraphs>195</Paragraphs>
  <ScaleCrop>false</ScaleCrop>
  <HeadingPairs>
    <vt:vector size="2" baseType="variant">
      <vt:variant>
        <vt:lpstr>Title</vt:lpstr>
      </vt:variant>
      <vt:variant>
        <vt:i4>1</vt:i4>
      </vt:variant>
    </vt:vector>
  </HeadingPairs>
  <TitlesOfParts>
    <vt:vector size="1" baseType="lpstr">
      <vt:lpstr>Dataset Understanding Report</vt:lpstr>
    </vt:vector>
  </TitlesOfParts>
  <Company/>
  <LinksUpToDate>false</LinksUpToDate>
  <CharactersWithSpaces>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Dataset Understanding Report</dc:title>
  <dc:creator>Data Science Intern</dc:creator>
  <cp:lastModifiedBy>Ismail Zahraoui</cp:lastModifiedBy>
  <cp:revision>3</cp:revision>
  <dcterms:created xsi:type="dcterms:W3CDTF">2026-06-20T12:06:00Z</dcterms:created>
  <dcterms:modified xsi:type="dcterms:W3CDTF">2026-06-20T17:29:00Z</dcterms:modified>
</cp:coreProperties>
</file>