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E99F54" w14:textId="1BB38BB3" w:rsidR="00191CBF" w:rsidRDefault="00000000">
      <w:pPr>
        <w:pStyle w:val="Title"/>
        <w:jc w:val="center"/>
      </w:pPr>
      <w:r>
        <w:rPr>
          <w:b/>
          <w:color w:val="2C3E50"/>
          <w:sz w:val="44"/>
        </w:rPr>
        <w:t>Dashboard 4 – Logistics &amp; Transportation Intelligence Center</w:t>
      </w:r>
    </w:p>
    <w:p w14:paraId="6F925059" w14:textId="77777777" w:rsidR="00191CBF" w:rsidRDefault="00000000">
      <w:pPr>
        <w:jc w:val="center"/>
      </w:pPr>
      <w:r>
        <w:rPr>
          <w:i/>
          <w:color w:val="16A085"/>
          <w:sz w:val="28"/>
        </w:rPr>
        <w:t>Detailed Deliverables - Week 7</w:t>
      </w:r>
      <w:r>
        <w:rPr>
          <w:i/>
          <w:color w:val="16A085"/>
          <w:sz w:val="28"/>
        </w:rPr>
        <w:br/>
        <w:t>Data Analyst &amp; Business Intelligence Team</w:t>
      </w:r>
    </w:p>
    <w:p w14:paraId="2BE02216" w14:textId="77777777" w:rsidR="00191CBF" w:rsidRDefault="00000000">
      <w:r>
        <w:t>This document provides a detailed overview of the expected deliverables for Week 7, focusing on transforming shipment data into operational intelligence to monitor logistics performance, carrier efficiency, route risks, and transportation costs in real time.</w:t>
      </w:r>
    </w:p>
    <w:p w14:paraId="508872B8" w14:textId="77777777" w:rsidR="00191CBF" w:rsidRDefault="00000000">
      <w:pPr>
        <w:pStyle w:val="Heading1"/>
      </w:pPr>
      <w:r>
        <w:rPr>
          <w:color w:val="2980B9"/>
        </w:rPr>
        <w:t>1. Dashboard Development &amp; Layout</w:t>
      </w:r>
    </w:p>
    <w:p w14:paraId="1DA5D6AF" w14:textId="77777777" w:rsidR="00191CBF" w:rsidRDefault="00000000">
      <w:r>
        <w:t>The dashboard will follow the GlobeNex Executive Theme (minimalistic, responsive, interactive drill-through) and include the following elements:</w:t>
      </w:r>
    </w:p>
    <w:p w14:paraId="7E29C93E" w14:textId="77777777" w:rsidR="00191CBF" w:rsidRDefault="00000000">
      <w:pPr>
        <w:pStyle w:val="Heading2"/>
      </w:pPr>
      <w:r>
        <w:rPr>
          <w:color w:val="34495E"/>
        </w:rPr>
        <w:t>Executive KPI Cards</w:t>
      </w:r>
    </w:p>
    <w:tbl>
      <w:tblPr>
        <w:tblStyle w:val="LightShading-Accent1"/>
        <w:tblW w:w="0" w:type="auto"/>
        <w:tblLook w:val="04A0" w:firstRow="1" w:lastRow="0" w:firstColumn="1" w:lastColumn="0" w:noHBand="0" w:noVBand="1"/>
      </w:tblPr>
      <w:tblGrid>
        <w:gridCol w:w="4320"/>
        <w:gridCol w:w="4320"/>
      </w:tblGrid>
      <w:tr w:rsidR="00191CBF" w14:paraId="237BDC71" w14:textId="77777777" w:rsidTr="00191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1A4F47" w14:textId="77777777" w:rsidR="00191CBF" w:rsidRDefault="00000000">
            <w:r>
              <w:t>KPI</w:t>
            </w:r>
          </w:p>
        </w:tc>
        <w:tc>
          <w:tcPr>
            <w:tcW w:w="4320" w:type="dxa"/>
          </w:tcPr>
          <w:p w14:paraId="20602518" w14:textId="77777777" w:rsidR="00191CBF" w:rsidRDefault="00000000">
            <w:pPr>
              <w:cnfStyle w:val="100000000000" w:firstRow="1" w:lastRow="0" w:firstColumn="0" w:lastColumn="0" w:oddVBand="0" w:evenVBand="0" w:oddHBand="0" w:evenHBand="0" w:firstRowFirstColumn="0" w:firstRowLastColumn="0" w:lastRowFirstColumn="0" w:lastRowLastColumn="0"/>
            </w:pPr>
            <w:r>
              <w:t>Description / Logic</w:t>
            </w:r>
          </w:p>
        </w:tc>
      </w:tr>
      <w:tr w:rsidR="00191CBF" w14:paraId="5AEBA221" w14:textId="77777777" w:rsidTr="00937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C6D9F1" w:themeFill="text2" w:themeFillTint="33"/>
          </w:tcPr>
          <w:p w14:paraId="61C4A2E8" w14:textId="77777777" w:rsidR="00191CBF" w:rsidRDefault="00000000">
            <w:r>
              <w:t>Total Shipments</w:t>
            </w:r>
          </w:p>
        </w:tc>
        <w:tc>
          <w:tcPr>
            <w:tcW w:w="4320" w:type="dxa"/>
            <w:shd w:val="clear" w:color="auto" w:fill="C6D9F1" w:themeFill="text2" w:themeFillTint="33"/>
          </w:tcPr>
          <w:p w14:paraId="4FAA7F8A" w14:textId="77777777" w:rsidR="00191CBF" w:rsidRDefault="00000000">
            <w:pPr>
              <w:cnfStyle w:val="000000100000" w:firstRow="0" w:lastRow="0" w:firstColumn="0" w:lastColumn="0" w:oddVBand="0" w:evenVBand="0" w:oddHBand="1" w:evenHBand="0" w:firstRowFirstColumn="0" w:firstRowLastColumn="0" w:lastRowFirstColumn="0" w:lastRowLastColumn="0"/>
            </w:pPr>
            <w:r>
              <w:t>Total Shipments Completed</w:t>
            </w:r>
          </w:p>
        </w:tc>
      </w:tr>
      <w:tr w:rsidR="00191CBF" w14:paraId="4C682289" w14:textId="77777777" w:rsidTr="00937A70">
        <w:tc>
          <w:tcPr>
            <w:cnfStyle w:val="001000000000" w:firstRow="0" w:lastRow="0" w:firstColumn="1" w:lastColumn="0" w:oddVBand="0" w:evenVBand="0" w:oddHBand="0" w:evenHBand="0" w:firstRowFirstColumn="0" w:firstRowLastColumn="0" w:lastRowFirstColumn="0" w:lastRowLastColumn="0"/>
            <w:tcW w:w="4320" w:type="dxa"/>
            <w:shd w:val="clear" w:color="auto" w:fill="C6D9F1" w:themeFill="text2" w:themeFillTint="33"/>
          </w:tcPr>
          <w:p w14:paraId="1CB7B364" w14:textId="77777777" w:rsidR="00191CBF" w:rsidRDefault="00000000">
            <w:r>
              <w:t>On-Time Delivery %</w:t>
            </w:r>
          </w:p>
        </w:tc>
        <w:tc>
          <w:tcPr>
            <w:tcW w:w="4320" w:type="dxa"/>
            <w:shd w:val="clear" w:color="auto" w:fill="C6D9F1" w:themeFill="text2" w:themeFillTint="33"/>
          </w:tcPr>
          <w:p w14:paraId="4E69D047" w14:textId="77777777" w:rsidR="00191CBF" w:rsidRDefault="00000000">
            <w:pPr>
              <w:cnfStyle w:val="000000000000" w:firstRow="0" w:lastRow="0" w:firstColumn="0" w:lastColumn="0" w:oddVBand="0" w:evenVBand="0" w:oddHBand="0" w:evenHBand="0" w:firstRowFirstColumn="0" w:firstRowLastColumn="0" w:lastRowFirstColumn="0" w:lastRowLastColumn="0"/>
            </w:pPr>
            <w:r>
              <w:t>Target: 95%</w:t>
            </w:r>
          </w:p>
        </w:tc>
      </w:tr>
      <w:tr w:rsidR="00191CBF" w14:paraId="0B8D7857" w14:textId="77777777" w:rsidTr="00937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C6D9F1" w:themeFill="text2" w:themeFillTint="33"/>
          </w:tcPr>
          <w:p w14:paraId="5201CD71" w14:textId="77777777" w:rsidR="00191CBF" w:rsidRDefault="00000000">
            <w:r>
              <w:t>Average Delivery Delay</w:t>
            </w:r>
          </w:p>
        </w:tc>
        <w:tc>
          <w:tcPr>
            <w:tcW w:w="4320" w:type="dxa"/>
            <w:shd w:val="clear" w:color="auto" w:fill="C6D9F1" w:themeFill="text2" w:themeFillTint="33"/>
          </w:tcPr>
          <w:p w14:paraId="2A334291" w14:textId="77777777" w:rsidR="00191CBF" w:rsidRDefault="00000000">
            <w:pPr>
              <w:cnfStyle w:val="000000100000" w:firstRow="0" w:lastRow="0" w:firstColumn="0" w:lastColumn="0" w:oddVBand="0" w:evenVBand="0" w:oddHBand="1" w:evenHBand="0" w:firstRowFirstColumn="0" w:firstRowLastColumn="0" w:lastRowFirstColumn="0" w:lastRowLastColumn="0"/>
            </w:pPr>
            <w:r>
              <w:t>Average Delay (Days)</w:t>
            </w:r>
          </w:p>
        </w:tc>
      </w:tr>
      <w:tr w:rsidR="00191CBF" w14:paraId="7DD76828" w14:textId="77777777" w:rsidTr="00937A70">
        <w:tc>
          <w:tcPr>
            <w:cnfStyle w:val="001000000000" w:firstRow="0" w:lastRow="0" w:firstColumn="1" w:lastColumn="0" w:oddVBand="0" w:evenVBand="0" w:oddHBand="0" w:evenHBand="0" w:firstRowFirstColumn="0" w:firstRowLastColumn="0" w:lastRowFirstColumn="0" w:lastRowLastColumn="0"/>
            <w:tcW w:w="4320" w:type="dxa"/>
            <w:shd w:val="clear" w:color="auto" w:fill="C6D9F1" w:themeFill="text2" w:themeFillTint="33"/>
          </w:tcPr>
          <w:p w14:paraId="4D4E55E8" w14:textId="77777777" w:rsidR="00191CBF" w:rsidRDefault="00000000">
            <w:r>
              <w:t>Total Logistics Cost</w:t>
            </w:r>
          </w:p>
        </w:tc>
        <w:tc>
          <w:tcPr>
            <w:tcW w:w="4320" w:type="dxa"/>
            <w:shd w:val="clear" w:color="auto" w:fill="C6D9F1" w:themeFill="text2" w:themeFillTint="33"/>
          </w:tcPr>
          <w:p w14:paraId="514276E1" w14:textId="77777777" w:rsidR="00191CBF" w:rsidRDefault="00000000">
            <w:pPr>
              <w:cnfStyle w:val="000000000000" w:firstRow="0" w:lastRow="0" w:firstColumn="0" w:lastColumn="0" w:oddVBand="0" w:evenVBand="0" w:oddHBand="0" w:evenHBand="0" w:firstRowFirstColumn="0" w:firstRowLastColumn="0" w:lastRowFirstColumn="0" w:lastRowLastColumn="0"/>
            </w:pPr>
            <w:r>
              <w:t>Total Transportation Spend (USD)</w:t>
            </w:r>
          </w:p>
        </w:tc>
      </w:tr>
      <w:tr w:rsidR="00191CBF" w14:paraId="3B09E54A" w14:textId="77777777" w:rsidTr="00937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C6D9F1" w:themeFill="text2" w:themeFillTint="33"/>
          </w:tcPr>
          <w:p w14:paraId="4BC3BF3E" w14:textId="77777777" w:rsidR="00191CBF" w:rsidRDefault="00000000">
            <w:r>
              <w:t>Average Cost Per Shipment</w:t>
            </w:r>
          </w:p>
        </w:tc>
        <w:tc>
          <w:tcPr>
            <w:tcW w:w="4320" w:type="dxa"/>
            <w:shd w:val="clear" w:color="auto" w:fill="C6D9F1" w:themeFill="text2" w:themeFillTint="33"/>
          </w:tcPr>
          <w:p w14:paraId="2F8C78FA" w14:textId="77777777" w:rsidR="00191CBF" w:rsidRDefault="00000000">
            <w:pPr>
              <w:cnfStyle w:val="000000100000" w:firstRow="0" w:lastRow="0" w:firstColumn="0" w:lastColumn="0" w:oddVBand="0" w:evenVBand="0" w:oddHBand="1" w:evenHBand="0" w:firstRowFirstColumn="0" w:firstRowLastColumn="0" w:lastRowFirstColumn="0" w:lastRowLastColumn="0"/>
            </w:pPr>
            <w:r>
              <w:t>Logistics Cost ÷ Total Shipments</w:t>
            </w:r>
          </w:p>
        </w:tc>
      </w:tr>
      <w:tr w:rsidR="00191CBF" w14:paraId="5603B5C7" w14:textId="77777777" w:rsidTr="00937A70">
        <w:tc>
          <w:tcPr>
            <w:cnfStyle w:val="001000000000" w:firstRow="0" w:lastRow="0" w:firstColumn="1" w:lastColumn="0" w:oddVBand="0" w:evenVBand="0" w:oddHBand="0" w:evenHBand="0" w:firstRowFirstColumn="0" w:firstRowLastColumn="0" w:lastRowFirstColumn="0" w:lastRowLastColumn="0"/>
            <w:tcW w:w="4320" w:type="dxa"/>
            <w:shd w:val="clear" w:color="auto" w:fill="C6D9F1" w:themeFill="text2" w:themeFillTint="33"/>
          </w:tcPr>
          <w:p w14:paraId="05AE12E4" w14:textId="77777777" w:rsidR="00191CBF" w:rsidRDefault="00000000">
            <w:r>
              <w:t>Customs Clearance Time</w:t>
            </w:r>
          </w:p>
        </w:tc>
        <w:tc>
          <w:tcPr>
            <w:tcW w:w="4320" w:type="dxa"/>
            <w:shd w:val="clear" w:color="auto" w:fill="C6D9F1" w:themeFill="text2" w:themeFillTint="33"/>
          </w:tcPr>
          <w:p w14:paraId="0217617D" w14:textId="77777777" w:rsidR="00191CBF" w:rsidRDefault="00000000">
            <w:pPr>
              <w:cnfStyle w:val="000000000000" w:firstRow="0" w:lastRow="0" w:firstColumn="0" w:lastColumn="0" w:oddVBand="0" w:evenVBand="0" w:oddHBand="0" w:evenHBand="0" w:firstRowFirstColumn="0" w:firstRowLastColumn="0" w:lastRowFirstColumn="0" w:lastRowLastColumn="0"/>
            </w:pPr>
            <w:r>
              <w:t>Average Clearance Days</w:t>
            </w:r>
          </w:p>
        </w:tc>
      </w:tr>
      <w:tr w:rsidR="00191CBF" w14:paraId="696DC218" w14:textId="77777777" w:rsidTr="00937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C6D9F1" w:themeFill="text2" w:themeFillTint="33"/>
          </w:tcPr>
          <w:p w14:paraId="67616411" w14:textId="77777777" w:rsidR="00191CBF" w:rsidRDefault="00000000">
            <w:r>
              <w:t>Route Risk Score</w:t>
            </w:r>
          </w:p>
        </w:tc>
        <w:tc>
          <w:tcPr>
            <w:tcW w:w="4320" w:type="dxa"/>
            <w:shd w:val="clear" w:color="auto" w:fill="C6D9F1" w:themeFill="text2" w:themeFillTint="33"/>
          </w:tcPr>
          <w:p w14:paraId="1E48C9AD" w14:textId="77777777" w:rsidR="00191CBF" w:rsidRDefault="00000000">
            <w:pPr>
              <w:cnfStyle w:val="000000100000" w:firstRow="0" w:lastRow="0" w:firstColumn="0" w:lastColumn="0" w:oddVBand="0" w:evenVBand="0" w:oddHBand="1" w:evenHBand="0" w:firstRowFirstColumn="0" w:firstRowLastColumn="0" w:lastRowFirstColumn="0" w:lastRowLastColumn="0"/>
            </w:pPr>
            <w:r>
              <w:t>Composite KPI based on Delay Frequency, Weather, Customs, Distance, Carrier Performance</w:t>
            </w:r>
          </w:p>
        </w:tc>
      </w:tr>
      <w:tr w:rsidR="00191CBF" w14:paraId="285B9C16" w14:textId="77777777" w:rsidTr="00937A70">
        <w:tc>
          <w:tcPr>
            <w:cnfStyle w:val="001000000000" w:firstRow="0" w:lastRow="0" w:firstColumn="1" w:lastColumn="0" w:oddVBand="0" w:evenVBand="0" w:oddHBand="0" w:evenHBand="0" w:firstRowFirstColumn="0" w:firstRowLastColumn="0" w:lastRowFirstColumn="0" w:lastRowLastColumn="0"/>
            <w:tcW w:w="4320" w:type="dxa"/>
            <w:shd w:val="clear" w:color="auto" w:fill="C6D9F1" w:themeFill="text2" w:themeFillTint="33"/>
          </w:tcPr>
          <w:p w14:paraId="32BC012A" w14:textId="77777777" w:rsidR="00191CBF" w:rsidRDefault="00000000">
            <w:r>
              <w:t>Carrier Reliability Score</w:t>
            </w:r>
          </w:p>
        </w:tc>
        <w:tc>
          <w:tcPr>
            <w:tcW w:w="4320" w:type="dxa"/>
            <w:shd w:val="clear" w:color="auto" w:fill="C6D9F1" w:themeFill="text2" w:themeFillTint="33"/>
          </w:tcPr>
          <w:p w14:paraId="7185780E" w14:textId="77777777" w:rsidR="00191CBF" w:rsidRDefault="00000000">
            <w:pPr>
              <w:cnfStyle w:val="000000000000" w:firstRow="0" w:lastRow="0" w:firstColumn="0" w:lastColumn="0" w:oddVBand="0" w:evenVBand="0" w:oddHBand="0" w:evenHBand="0" w:firstRowFirstColumn="0" w:firstRowLastColumn="0" w:lastRowFirstColumn="0" w:lastRowLastColumn="0"/>
            </w:pPr>
            <w:r>
              <w:t>Composite KPI based on On-Time Delivery, Damage Rate, SLA Compliance, Customer Rating</w:t>
            </w:r>
          </w:p>
        </w:tc>
      </w:tr>
    </w:tbl>
    <w:p w14:paraId="5D7FBA27" w14:textId="77777777" w:rsidR="00191CBF" w:rsidRDefault="00000000">
      <w:r>
        <w:br/>
      </w:r>
    </w:p>
    <w:p w14:paraId="081552EC" w14:textId="77777777" w:rsidR="00191CBF" w:rsidRDefault="00000000">
      <w:pPr>
        <w:pStyle w:val="Heading2"/>
      </w:pPr>
      <w:r>
        <w:rPr>
          <w:color w:val="34495E"/>
        </w:rPr>
        <w:t>Interactive Filters &amp; Slicers</w:t>
      </w:r>
    </w:p>
    <w:p w14:paraId="351AD8AA" w14:textId="77777777" w:rsidR="00191CBF" w:rsidRDefault="00000000">
      <w:pPr>
        <w:pStyle w:val="ListBullet"/>
      </w:pPr>
      <w:r>
        <w:t>Date, Region, Country, Carrier, Shipping Mode, Warehouse, Product Category, Shipment Status, Delay Flag, Route Risk Category.</w:t>
      </w:r>
    </w:p>
    <w:p w14:paraId="61F6BCAF" w14:textId="77777777" w:rsidR="00191CBF" w:rsidRDefault="00000000">
      <w:r>
        <w:br/>
      </w:r>
    </w:p>
    <w:p w14:paraId="51B177FD" w14:textId="77777777" w:rsidR="00191CBF" w:rsidRDefault="00000000">
      <w:pPr>
        <w:pStyle w:val="Heading2"/>
      </w:pPr>
      <w:r>
        <w:rPr>
          <w:color w:val="34495E"/>
        </w:rPr>
        <w:t>Main Visualizations</w:t>
      </w:r>
    </w:p>
    <w:p w14:paraId="20550CC3" w14:textId="77777777" w:rsidR="00191CBF" w:rsidRDefault="00000000">
      <w:pPr>
        <w:pStyle w:val="ListBullet"/>
      </w:pPr>
      <w:r>
        <w:t>Global Shipment Map (Filled Map): Origin/Destination, Volume, Delay Severity, Route Risk Score.</w:t>
      </w:r>
    </w:p>
    <w:p w14:paraId="79D7653C" w14:textId="77777777" w:rsidR="00191CBF" w:rsidRDefault="00000000">
      <w:pPr>
        <w:pStyle w:val="ListBullet"/>
      </w:pPr>
      <w:r>
        <w:lastRenderedPageBreak/>
        <w:t>Monthly Shipment Trend (Line Chart): Jan 2021–Dec 2024 tracking Shipments, On-Time Deliveries, Logistics Cost.</w:t>
      </w:r>
    </w:p>
    <w:p w14:paraId="5753AB2D" w14:textId="77777777" w:rsidR="00191CBF" w:rsidRDefault="00000000">
      <w:pPr>
        <w:pStyle w:val="ListBullet"/>
      </w:pPr>
      <w:r>
        <w:t>Carrier Performance Comparison (Clustered Bar Chart): Carrier, Total Shipments, On-Time %, Delay Days, Reliability Score.</w:t>
      </w:r>
    </w:p>
    <w:p w14:paraId="3FDACB45" w14:textId="77777777" w:rsidR="00191CBF" w:rsidRDefault="00000000">
      <w:pPr>
        <w:pStyle w:val="ListBullet"/>
      </w:pPr>
      <w:r>
        <w:t>Transportation Cost Breakdown (Stacked Column): Cost by Region, Shipping Mode, Carrier, Product Category.</w:t>
      </w:r>
    </w:p>
    <w:p w14:paraId="47B4DB73" w14:textId="77777777" w:rsidR="00191CBF" w:rsidRDefault="00000000">
      <w:pPr>
        <w:pStyle w:val="ListBullet"/>
      </w:pPr>
      <w:r>
        <w:t>Delivery Delay Analysis (Scatter Plot): Carrier, Delay Days, Distance, Cost, Shipment Weight.</w:t>
      </w:r>
    </w:p>
    <w:p w14:paraId="0053AC43" w14:textId="77777777" w:rsidR="00191CBF" w:rsidRDefault="00000000">
      <w:pPr>
        <w:pStyle w:val="ListBullet"/>
      </w:pPr>
      <w:r>
        <w:t>Customs Clearance Performance (Column Chart): Country, Avg Clearance Days, Delayed Shipments, Customs Risk Score.</w:t>
      </w:r>
    </w:p>
    <w:p w14:paraId="250445E2" w14:textId="77777777" w:rsidR="00191CBF" w:rsidRDefault="00000000">
      <w:pPr>
        <w:pStyle w:val="ListBullet"/>
      </w:pPr>
      <w:r>
        <w:t>Shipping Mode Analysis (Donut Chart): Distribution of Air/Ocean/Rail/Road, Shipment Count, Avg Cost, Avg Delay.</w:t>
      </w:r>
    </w:p>
    <w:p w14:paraId="2FF9A3C7" w14:textId="77777777" w:rsidR="00191CBF" w:rsidRDefault="00000000">
      <w:pPr>
        <w:pStyle w:val="ListBullet"/>
      </w:pPr>
      <w:r>
        <w:t>Logistics Risk Alert Table: Shipment ID, Carrier, Route, Delay Days, Risk Level, Expected Delivery, Cost, Recommended Action.</w:t>
      </w:r>
    </w:p>
    <w:p w14:paraId="170CE5C2" w14:textId="77777777" w:rsidR="00191CBF" w:rsidRDefault="00000000">
      <w:pPr>
        <w:pStyle w:val="Heading1"/>
      </w:pPr>
      <w:r>
        <w:rPr>
          <w:color w:val="2980B9"/>
        </w:rPr>
        <w:t>2. Required DAX Measures &amp; Analytics</w:t>
      </w:r>
    </w:p>
    <w:p w14:paraId="64D6FC7F" w14:textId="77777777" w:rsidR="00191CBF" w:rsidRDefault="00000000">
      <w:pPr>
        <w:pStyle w:val="Heading2"/>
      </w:pPr>
      <w:r>
        <w:rPr>
          <w:color w:val="34495E"/>
        </w:rPr>
        <w:t>DAX Formulas</w:t>
      </w:r>
    </w:p>
    <w:p w14:paraId="26A176BF" w14:textId="77777777" w:rsidR="00191CBF" w:rsidRDefault="00000000">
      <w:pPr>
        <w:pStyle w:val="ListBullet"/>
      </w:pPr>
      <w:r>
        <w:t>Total Shipments = COUNT(logistics[shipment_id])</w:t>
      </w:r>
    </w:p>
    <w:p w14:paraId="1B55325D" w14:textId="77777777" w:rsidR="00191CBF" w:rsidRDefault="00000000">
      <w:pPr>
        <w:pStyle w:val="ListBullet"/>
      </w:pPr>
      <w:r>
        <w:t>On-Time Delivery % = DIVIDE(CALCULATE(COUNTROWS(logistics),logistics[delay_flag]=0),COUNTROWS(logistics))*100</w:t>
      </w:r>
    </w:p>
    <w:p w14:paraId="2E79DD5F" w14:textId="77777777" w:rsidR="00191CBF" w:rsidRDefault="00000000">
      <w:pPr>
        <w:pStyle w:val="ListBullet"/>
      </w:pPr>
      <w:r>
        <w:t>Average Delay = AVERAGE(logistics[delivery_delay_days])</w:t>
      </w:r>
    </w:p>
    <w:p w14:paraId="142E5936" w14:textId="77777777" w:rsidR="00191CBF" w:rsidRDefault="00000000">
      <w:pPr>
        <w:pStyle w:val="ListBullet"/>
      </w:pPr>
      <w:r>
        <w:t>Total Logistics Cost = SUM(logistics[logistics_cost_usd])</w:t>
      </w:r>
    </w:p>
    <w:p w14:paraId="51211BF9" w14:textId="77777777" w:rsidR="00191CBF" w:rsidRDefault="00000000">
      <w:pPr>
        <w:pStyle w:val="ListBullet"/>
      </w:pPr>
      <w:r>
        <w:t>Avg Cost Per Shipment = DIVIDE([Total Logistics Cost],[Total Shipments])</w:t>
      </w:r>
    </w:p>
    <w:p w14:paraId="7E3AF180" w14:textId="77777777" w:rsidR="00191CBF" w:rsidRDefault="00000000">
      <w:pPr>
        <w:pStyle w:val="ListBullet"/>
      </w:pPr>
      <w:r>
        <w:t>Route Risk Score &amp; Carrier Reliability Score (Composite measures based on defined risk/reliability factors).</w:t>
      </w:r>
    </w:p>
    <w:p w14:paraId="7FCBCB70" w14:textId="2652F6CA" w:rsidR="00191CBF" w:rsidRDefault="00937A70">
      <w:pPr>
        <w:pStyle w:val="Heading1"/>
      </w:pPr>
      <w:r>
        <w:rPr>
          <w:color w:val="2980B9"/>
        </w:rPr>
        <w:t>3</w:t>
      </w:r>
      <w:r w:rsidR="00000000">
        <w:rPr>
          <w:color w:val="2980B9"/>
        </w:rPr>
        <w:t>. Documentation &amp; Repository Updates</w:t>
      </w:r>
    </w:p>
    <w:p w14:paraId="4848802C" w14:textId="77777777" w:rsidR="00191CBF" w:rsidRDefault="00000000">
      <w:pPr>
        <w:pStyle w:val="Heading2"/>
      </w:pPr>
      <w:r>
        <w:rPr>
          <w:color w:val="34495E"/>
        </w:rPr>
        <w:t>Documentation Deliverables</w:t>
      </w:r>
    </w:p>
    <w:p w14:paraId="2069F4D3" w14:textId="77777777" w:rsidR="00191CBF" w:rsidRDefault="00000000">
      <w:pPr>
        <w:pStyle w:val="ListBullet"/>
      </w:pPr>
      <w:r>
        <w:t>Dashboard User Guide</w:t>
      </w:r>
    </w:p>
    <w:p w14:paraId="1BE1F827" w14:textId="77777777" w:rsidR="00191CBF" w:rsidRDefault="00000000">
      <w:pPr>
        <w:pStyle w:val="ListBullet"/>
      </w:pPr>
      <w:r>
        <w:t>DAX Documentation</w:t>
      </w:r>
    </w:p>
    <w:p w14:paraId="46F9BE2B" w14:textId="77777777" w:rsidR="00191CBF" w:rsidRDefault="00000000">
      <w:pPr>
        <w:pStyle w:val="ListBullet"/>
      </w:pPr>
      <w:r>
        <w:t>Data Model Validation Report</w:t>
      </w:r>
    </w:p>
    <w:p w14:paraId="760154D4" w14:textId="77777777" w:rsidR="00191CBF" w:rsidRDefault="00000000">
      <w:pPr>
        <w:pStyle w:val="ListBullet"/>
      </w:pPr>
      <w:r>
        <w:t>KPI Documentation</w:t>
      </w:r>
    </w:p>
    <w:p w14:paraId="2C2047B9" w14:textId="77777777" w:rsidR="00191CBF" w:rsidRDefault="00000000">
      <w:pPr>
        <w:pStyle w:val="ListBullet"/>
      </w:pPr>
      <w:r>
        <w:t>GitBook Documentation</w:t>
      </w:r>
    </w:p>
    <w:p w14:paraId="005A8438" w14:textId="57D27534" w:rsidR="00191CBF" w:rsidRDefault="00191CBF">
      <w:pPr>
        <w:pStyle w:val="ListBullet2"/>
      </w:pPr>
    </w:p>
    <w:sectPr w:rsidR="00191C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9621517">
    <w:abstractNumId w:val="8"/>
  </w:num>
  <w:num w:numId="2" w16cid:durableId="2028168740">
    <w:abstractNumId w:val="6"/>
  </w:num>
  <w:num w:numId="3" w16cid:durableId="277295682">
    <w:abstractNumId w:val="5"/>
  </w:num>
  <w:num w:numId="4" w16cid:durableId="365327793">
    <w:abstractNumId w:val="4"/>
  </w:num>
  <w:num w:numId="5" w16cid:durableId="557013955">
    <w:abstractNumId w:val="7"/>
  </w:num>
  <w:num w:numId="6" w16cid:durableId="1713187346">
    <w:abstractNumId w:val="3"/>
  </w:num>
  <w:num w:numId="7" w16cid:durableId="838616872">
    <w:abstractNumId w:val="2"/>
  </w:num>
  <w:num w:numId="8" w16cid:durableId="1962685921">
    <w:abstractNumId w:val="1"/>
  </w:num>
  <w:num w:numId="9" w16cid:durableId="11039139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CBF"/>
    <w:rsid w:val="0029639D"/>
    <w:rsid w:val="00326F90"/>
    <w:rsid w:val="00937A70"/>
    <w:rsid w:val="00AA1D8D"/>
    <w:rsid w:val="00B47730"/>
    <w:rsid w:val="00CB0664"/>
    <w:rsid w:val="00D31C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1C226"/>
  <w14:defaultImageDpi w14:val="300"/>
  <w15:docId w15:val="{09F0221A-5BF1-A849-8AC2-07D574818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Ismail Zahraoui</cp:lastModifiedBy>
  <cp:revision>2</cp:revision>
  <dcterms:created xsi:type="dcterms:W3CDTF">2013-12-23T23:15:00Z</dcterms:created>
  <dcterms:modified xsi:type="dcterms:W3CDTF">2026-08-17T10:25:00Z</dcterms:modified>
  <cp:category/>
</cp:coreProperties>
</file>