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 Architecture Justification</w:t>
      </w:r>
    </w:p>
    <w:p>
      <w:r>
        <w:rPr>
          <w:b/>
        </w:rPr>
        <w:t>Airport Lost Luggage Claim and Tracking Portal</w:t>
      </w:r>
    </w:p>
    <w:p>
      <w:r>
        <w:rPr>
          <w:sz w:val="20"/>
        </w:rPr>
        <w:t>Mohammed Zahoor Mashahir | PES1UG24CS579 | Section J</w:t>
        <w:br/>
        <w:t>Problem Statement 30</w:t>
      </w:r>
    </w:p>
    <w:p>
      <w:pPr>
        <w:pStyle w:val="Heading1"/>
      </w:pPr>
      <w:r>
        <w:t>Architecture Selection</w:t>
      </w:r>
    </w:p>
    <w:p>
      <w:r>
        <w:t>We chose Layered Architecture for the Airport Lost Luggage Claim &amp; Tracking Portal System. The design separates presentation, business logic, and data access and integration. Business modules run within one application, while adapters isolate airport scan feeds and the compensation provider.</w:t>
      </w:r>
    </w:p>
    <w:p>
      <w:pPr>
        <w:pStyle w:val="Heading1"/>
      </w:pPr>
      <w:r>
        <w:t>Reason 1 Consistent Claim and Compensation Records</w:t>
      </w:r>
    </w:p>
    <w:p>
      <w:r>
        <w:t>A claim, its recovery updates, approval and payment record share a relational repository. Database transactions keep local state changes and their audit entries consistent. A unique active-claim constraint prevents duplicates; a durable payout outbox and an idempotency key support safe retries after approval. External payments are reconciled separately because they cannot share the local database transaction.</w:t>
      </w:r>
    </w:p>
    <w:p>
      <w:pPr>
        <w:pStyle w:val="Heading1"/>
      </w:pPr>
      <w:r>
        <w:t>Reason 2 Replaceable Airport Integrations</w:t>
      </w:r>
    </w:p>
    <w:p>
      <w:r>
        <w:t>The Baggage Feed Adapter normalizes scan formats from connected airports behind IBaggageFeed. Tracking can match a bag tag and itinerary against a common scan history without coupling claim forms or compensation rules to each airport API. Changes to an airport feed remain within its adapter.</w:t>
      </w:r>
    </w:p>
    <w:p>
      <w:pPr>
        <w:pStyle w:val="Heading1"/>
      </w:pPr>
      <w:r>
        <w:t>Security Advantage</w:t>
      </w:r>
    </w:p>
    <w:p>
      <w:r>
        <w:t>The Claim Workflow API validates authenticated sessions, claim ownership and agent authorization before routing requests. Passengers can access only their claims; agent updates and payout approvals require the assigned role and are audited. Clients have no direct database or payment-provider access. HTTPS protects external calls, and service credentials remain on the server.</w:t>
      </w:r>
    </w:p>
    <w:p>
      <w:pPr>
        <w:pStyle w:val="Heading1"/>
      </w:pPr>
      <w:r>
        <w:t>Performance Benefit</w:t>
      </w:r>
    </w:p>
    <w:p>
      <w:r>
        <w:t>In-process business calls avoid network hops between internal modules. Tracking reads an indexed local scan history instead of contacting every airport during a timeline request. This supports the NFR-001 target of p95 response time at most 200 ms, subject to load testing at 500 concurrent users. Background ingestion keeps scan retrieval off the interactive path.</w:t>
      </w:r>
    </w:p>
    <w:p>
      <w:pPr>
        <w:pStyle w:val="Heading1"/>
      </w:pPr>
      <w:r>
        <w:t>Tradeoff</w:t>
      </w:r>
    </w:p>
    <w:p>
      <w:r>
        <w:t>Individual modules cannot scale independently as microservices can. Stateless application replicas and database failover are deployment measures proposed for the 99.9% availability target; the layered pattern alone does not guarantee it.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Architecture Justification</dc:title>
  <dc:subject>Airport Lost Luggage Claim and Tracking Portal</dc:subject>
  <dc:creator>Mohammed Zahoor Mashahir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