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0000"/>
          <w:sz w:val="46"/>
        </w:rPr>
        <w:t>BDSS Random-Forest Robustness Project Documentation</w:t>
      </w:r>
    </w:p>
    <w:p>
      <w:pPr>
        <w:spacing w:after="280"/>
      </w:pPr>
      <w:r>
        <w:rPr>
          <w:rFonts w:ascii="Calibri" w:hAnsi="Calibri"/>
          <w:color w:val="505050"/>
          <w:sz w:val="24"/>
        </w:rPr>
        <w:t>Implementation guide for the assignment pipeline, written as a step-by-step technical manual.</w:t>
      </w:r>
    </w:p>
    <w:p>
      <w:pPr>
        <w:pStyle w:val="Heading1"/>
      </w:pPr>
      <w:r>
        <w:t>Purpose</w:t>
      </w:r>
    </w:p>
    <w:p>
      <w:r>
        <w:t>This document explains how to build the project from the assignment. The goal is to analyze an already trained random forest by translating it into logical formulas and OBDDs. The project does not train a model; it studies the fixed model that is provided.</w:t>
      </w:r>
    </w:p>
    <w:p>
      <w:pPr>
        <w:pStyle w:val="Heading2"/>
      </w:pPr>
      <w:r>
        <w:t>Plain-language summary</w:t>
      </w:r>
    </w:p>
    <w:p>
      <w:pPr>
        <w:pStyle w:val="ListBullet"/>
        <w:spacing w:after="80"/>
      </w:pPr>
      <w:r>
        <w:t>Read a trained random forest.</w:t>
      </w:r>
    </w:p>
    <w:p>
      <w:pPr>
        <w:pStyle w:val="ListBullet"/>
        <w:spacing w:after="80"/>
      </w:pPr>
      <w:r>
        <w:t>Convert every feature threshold into discrete cells.</w:t>
      </w:r>
    </w:p>
    <w:p>
      <w:pPr>
        <w:pStyle w:val="ListBullet"/>
        <w:spacing w:after="80"/>
      </w:pPr>
      <w:r>
        <w:t>Represent each cell index with binary bits.</w:t>
      </w:r>
    </w:p>
    <w:p>
      <w:pPr>
        <w:pStyle w:val="ListBullet"/>
        <w:spacing w:after="80"/>
      </w:pPr>
      <w:r>
        <w:t>Encode every tree path and forest vote as logic.</w:t>
      </w:r>
    </w:p>
    <w:p>
      <w:pPr>
        <w:pStyle w:val="ListBullet"/>
        <w:spacing w:after="80"/>
      </w:pPr>
      <w:r>
        <w:t>Compose the logic with OBDDs while keeping diagram size under a budget.</w:t>
      </w:r>
    </w:p>
    <w:p>
      <w:pPr>
        <w:pStyle w:val="ListBullet"/>
        <w:spacing w:after="80"/>
      </w:pPr>
      <w:r>
        <w:t>Compare five strategies for choosing split variables.</w:t>
      </w:r>
    </w:p>
    <w:p>
      <w:pPr>
        <w:pStyle w:val="ListBullet"/>
        <w:spacing w:after="80"/>
      </w:pPr>
      <w:r>
        <w:t>Use the final diagrams to compute counts, rankings, and robustness distances.</w:t>
      </w:r>
    </w:p>
    <w:p>
      <w:pPr>
        <w:pStyle w:val="Heading1"/>
      </w:pPr>
      <w:r>
        <w:t>Recommended project structure</w:t>
      </w:r>
    </w:p>
    <w:tbl>
      <w:tblPr>
        <w:tblStyle w:val="TableGrid"/>
        <w:tblW w:type="dxa" w:w="9360"/>
        <w:jc w:val="left"/>
        <w:tblLayout w:type="fixed"/>
        <w:tblLook w:firstColumn="1" w:firstRow="1" w:lastColumn="0" w:lastRow="0" w:noHBand="0" w:noVBand="1" w:val="04A0"/>
      </w:tblPr>
      <w:tblGrid>
        <w:gridCol w:w="4680"/>
        <w:gridCol w:w="4680"/>
      </w:tblGrid>
      <w:tr>
        <w:tc>
          <w:tcPr>
            <w:tcW w:type="dxa" w:w="2232"/>
            <w:shd w:fill="F2F4F7"/>
            <w:vAlign w:val="center"/>
            <w:tcMar>
              <w:top w:w="80" w:type="dxa"/>
              <w:start w:w="120" w:type="dxa"/>
              <w:bottom w:w="80" w:type="dxa"/>
              <w:end w:w="120" w:type="dxa"/>
            </w:tcMar>
          </w:tcPr>
          <w:p>
            <w:r>
              <w:rPr>
                <w:rFonts w:ascii="Calibri" w:hAnsi="Calibri"/>
                <w:b/>
              </w:rPr>
              <w:t>Module</w:t>
            </w:r>
          </w:p>
        </w:tc>
        <w:tc>
          <w:tcPr>
            <w:tcW w:type="dxa" w:w="7128"/>
            <w:shd w:fill="F2F4F7"/>
            <w:vAlign w:val="center"/>
            <w:tcMar>
              <w:top w:w="80" w:type="dxa"/>
              <w:start w:w="120" w:type="dxa"/>
              <w:bottom w:w="80" w:type="dxa"/>
              <w:end w:w="120" w:type="dxa"/>
            </w:tcMar>
          </w:tcPr>
          <w:p>
            <w:r>
              <w:rPr>
                <w:rFonts w:ascii="Calibri" w:hAnsi="Calibri"/>
                <w:b/>
              </w:rPr>
              <w:t>Responsibility</w:t>
            </w:r>
          </w:p>
        </w:tc>
      </w:tr>
      <w:tr>
        <w:tc>
          <w:tcPr>
            <w:tcW w:type="dxa" w:w="2232"/>
            <w:vAlign w:val="center"/>
            <w:tcMar>
              <w:top w:w="80" w:type="dxa"/>
              <w:start w:w="120" w:type="dxa"/>
              <w:bottom w:w="80" w:type="dxa"/>
              <w:end w:w="120" w:type="dxa"/>
            </w:tcMar>
          </w:tcPr>
          <w:p>
            <w:r>
              <w:t>data_io.py</w:t>
            </w:r>
          </w:p>
        </w:tc>
        <w:tc>
          <w:tcPr>
            <w:tcW w:type="dxa" w:w="7128"/>
            <w:vAlign w:val="center"/>
            <w:tcMar>
              <w:top w:w="80" w:type="dxa"/>
              <w:start w:w="120" w:type="dxa"/>
              <w:bottom w:w="80" w:type="dxa"/>
              <w:end w:w="120" w:type="dxa"/>
            </w:tcMar>
          </w:tcPr>
          <w:p>
            <w:r>
              <w:t>Load forests, test sets, and experiment configuration.</w:t>
            </w:r>
          </w:p>
        </w:tc>
      </w:tr>
      <w:tr>
        <w:tc>
          <w:tcPr>
            <w:tcW w:type="dxa" w:w="2232"/>
            <w:vAlign w:val="center"/>
            <w:tcMar>
              <w:top w:w="80" w:type="dxa"/>
              <w:start w:w="120" w:type="dxa"/>
              <w:bottom w:w="80" w:type="dxa"/>
              <w:end w:w="120" w:type="dxa"/>
            </w:tcMar>
          </w:tcPr>
          <w:p>
            <w:r>
              <w:t>discretization.py</w:t>
            </w:r>
          </w:p>
        </w:tc>
        <w:tc>
          <w:tcPr>
            <w:tcW w:type="dxa" w:w="7128"/>
            <w:vAlign w:val="center"/>
            <w:tcMar>
              <w:top w:w="80" w:type="dxa"/>
              <w:start w:w="120" w:type="dxa"/>
              <w:bottom w:w="80" w:type="dxa"/>
              <w:end w:w="120" w:type="dxa"/>
            </w:tcMar>
          </w:tcPr>
          <w:p>
            <w:r>
              <w:t>Extract thresholds and map real feature values to cell indices.</w:t>
            </w:r>
          </w:p>
        </w:tc>
      </w:tr>
      <w:tr>
        <w:tc>
          <w:tcPr>
            <w:tcW w:type="dxa" w:w="2232"/>
            <w:vAlign w:val="center"/>
            <w:tcMar>
              <w:top w:w="80" w:type="dxa"/>
              <w:start w:w="120" w:type="dxa"/>
              <w:bottom w:w="80" w:type="dxa"/>
              <w:end w:w="120" w:type="dxa"/>
            </w:tcMar>
          </w:tcPr>
          <w:p>
            <w:r>
              <w:t>encoding.py</w:t>
            </w:r>
          </w:p>
        </w:tc>
        <w:tc>
          <w:tcPr>
            <w:tcW w:type="dxa" w:w="7128"/>
            <w:vAlign w:val="center"/>
            <w:tcMar>
              <w:top w:w="80" w:type="dxa"/>
              <w:start w:w="120" w:type="dxa"/>
              <w:bottom w:w="80" w:type="dxa"/>
              <w:end w:w="120" w:type="dxa"/>
            </w:tcMar>
          </w:tcPr>
          <w:p>
            <w:r>
              <w:t>Create binary input bits, node-test comparators, path formulas, and tree relations.</w:t>
            </w:r>
          </w:p>
        </w:tc>
      </w:tr>
      <w:tr>
        <w:tc>
          <w:tcPr>
            <w:tcW w:type="dxa" w:w="2232"/>
            <w:vAlign w:val="center"/>
            <w:tcMar>
              <w:top w:w="80" w:type="dxa"/>
              <w:start w:w="120" w:type="dxa"/>
              <w:bottom w:w="80" w:type="dxa"/>
              <w:end w:w="120" w:type="dxa"/>
            </w:tcMar>
          </w:tcPr>
          <w:p>
            <w:r>
              <w:t>bdd_backend.py</w:t>
            </w:r>
          </w:p>
        </w:tc>
        <w:tc>
          <w:tcPr>
            <w:tcW w:type="dxa" w:w="7128"/>
            <w:vAlign w:val="center"/>
            <w:tcMar>
              <w:top w:w="80" w:type="dxa"/>
              <w:start w:w="120" w:type="dxa"/>
              <w:bottom w:w="80" w:type="dxa"/>
              <w:end w:w="120" w:type="dxa"/>
            </w:tcMar>
          </w:tcPr>
          <w:p>
            <w:r>
              <w:t>Wrap the chosen BDD package and expose operations such as AND, OR, NOT, exist, cofactor, count, and size.</w:t>
            </w:r>
          </w:p>
        </w:tc>
      </w:tr>
      <w:tr>
        <w:tc>
          <w:tcPr>
            <w:tcW w:type="dxa" w:w="2232"/>
            <w:vAlign w:val="center"/>
            <w:tcMar>
              <w:top w:w="80" w:type="dxa"/>
              <w:start w:w="120" w:type="dxa"/>
              <w:bottom w:w="80" w:type="dxa"/>
              <w:end w:w="120" w:type="dxa"/>
            </w:tcMar>
          </w:tcPr>
          <w:p>
            <w:r>
              <w:t>composition.py</w:t>
            </w:r>
          </w:p>
        </w:tc>
        <w:tc>
          <w:tcPr>
            <w:tcW w:type="dxa" w:w="7128"/>
            <w:vAlign w:val="center"/>
            <w:tcMar>
              <w:top w:w="80" w:type="dxa"/>
              <w:start w:w="120" w:type="dxa"/>
              <w:bottom w:w="80" w:type="dxa"/>
              <w:end w:w="120" w:type="dxa"/>
            </w:tcMar>
          </w:tcPr>
          <w:p>
            <w:r>
              <w:t>Compose tree relations into accumulators and implement the budgeted frontier algorithm.</w:t>
            </w:r>
          </w:p>
        </w:tc>
      </w:tr>
      <w:tr>
        <w:tc>
          <w:tcPr>
            <w:tcW w:type="dxa" w:w="2232"/>
            <w:vAlign w:val="center"/>
            <w:tcMar>
              <w:top w:w="80" w:type="dxa"/>
              <w:start w:w="120" w:type="dxa"/>
              <w:bottom w:w="80" w:type="dxa"/>
              <w:end w:w="120" w:type="dxa"/>
            </w:tcMar>
          </w:tcPr>
          <w:p>
            <w:r>
              <w:t>selectors.py</w:t>
            </w:r>
          </w:p>
        </w:tc>
        <w:tc>
          <w:tcPr>
            <w:tcW w:type="dxa" w:w="7128"/>
            <w:vAlign w:val="center"/>
            <w:tcMar>
              <w:top w:w="80" w:type="dxa"/>
              <w:start w:w="120" w:type="dxa"/>
              <w:bottom w:w="80" w:type="dxa"/>
              <w:end w:w="120" w:type="dxa"/>
            </w:tcMar>
          </w:tcPr>
          <w:p>
            <w:r>
              <w:t>Implement information gain, Shapley value, p-value, random node, and modal variable selectors.</w:t>
            </w:r>
          </w:p>
        </w:tc>
      </w:tr>
      <w:tr>
        <w:tc>
          <w:tcPr>
            <w:tcW w:type="dxa" w:w="2232"/>
            <w:vAlign w:val="center"/>
            <w:tcMar>
              <w:top w:w="80" w:type="dxa"/>
              <w:start w:w="120" w:type="dxa"/>
              <w:bottom w:w="80" w:type="dxa"/>
              <w:end w:w="120" w:type="dxa"/>
            </w:tcMar>
          </w:tcPr>
          <w:p>
            <w:r>
              <w:t>readouts.py</w:t>
            </w:r>
          </w:p>
        </w:tc>
        <w:tc>
          <w:tcPr>
            <w:tcW w:type="dxa" w:w="7128"/>
            <w:vAlign w:val="center"/>
            <w:tcMar>
              <w:top w:w="80" w:type="dxa"/>
              <w:start w:w="120" w:type="dxa"/>
              <w:bottom w:w="80" w:type="dxa"/>
              <w:end w:w="120" w:type="dxa"/>
            </w:tcMar>
          </w:tcPr>
          <w:p>
            <w:r>
              <w:t>Compute model count, weighted volume, variable rankings, and shortest-path robustness.</w:t>
            </w:r>
          </w:p>
        </w:tc>
      </w:tr>
      <w:tr>
        <w:tc>
          <w:tcPr>
            <w:tcW w:type="dxa" w:w="2232"/>
            <w:vAlign w:val="center"/>
            <w:tcMar>
              <w:top w:w="80" w:type="dxa"/>
              <w:start w:w="120" w:type="dxa"/>
              <w:bottom w:w="80" w:type="dxa"/>
              <w:end w:w="120" w:type="dxa"/>
            </w:tcMar>
          </w:tcPr>
          <w:p>
            <w:r>
              <w:t>experiments.py</w:t>
            </w:r>
          </w:p>
        </w:tc>
        <w:tc>
          <w:tcPr>
            <w:tcW w:type="dxa" w:w="7128"/>
            <w:vAlign w:val="center"/>
            <w:tcMar>
              <w:top w:w="80" w:type="dxa"/>
              <w:start w:w="120" w:type="dxa"/>
              <w:bottom w:w="80" w:type="dxa"/>
              <w:end w:w="120" w:type="dxa"/>
            </w:tcMar>
          </w:tcPr>
          <w:p>
            <w:r>
              <w:t>Run the budget/selector/model grid and save result tables.</w:t>
            </w:r>
          </w:p>
        </w:tc>
      </w:tr>
      <w:tr>
        <w:tc>
          <w:tcPr>
            <w:tcW w:type="dxa" w:w="2232"/>
            <w:vAlign w:val="center"/>
            <w:tcMar>
              <w:top w:w="80" w:type="dxa"/>
              <w:start w:w="120" w:type="dxa"/>
              <w:bottom w:w="80" w:type="dxa"/>
              <w:end w:w="120" w:type="dxa"/>
            </w:tcMar>
          </w:tcPr>
          <w:p>
            <w:r>
              <w:t>reporting.py</w:t>
            </w:r>
          </w:p>
        </w:tc>
        <w:tc>
          <w:tcPr>
            <w:tcW w:type="dxa" w:w="7128"/>
            <w:vAlign w:val="center"/>
            <w:tcMar>
              <w:top w:w="80" w:type="dxa"/>
              <w:start w:w="120" w:type="dxa"/>
              <w:bottom w:w="80" w:type="dxa"/>
              <w:end w:w="120" w:type="dxa"/>
            </w:tcMar>
          </w:tcPr>
          <w:p>
            <w:r>
              <w:t>Create CSV summaries and figures for the final report.</w:t>
            </w:r>
          </w:p>
        </w:tc>
      </w:tr>
    </w:tbl>
    <w:p/>
    <w:p>
      <w:pPr>
        <w:pStyle w:val="Heading1"/>
      </w:pPr>
      <w:r>
        <w:t>Build order</w:t>
      </w:r>
    </w:p>
    <w:p>
      <w:pPr>
        <w:pStyle w:val="ListNumber"/>
        <w:spacing w:after="80"/>
      </w:pPr>
      <w:r>
        <w:t>Start with one tiny forest or the first 5 trees of a real forest.</w:t>
      </w:r>
    </w:p>
    <w:p>
      <w:pPr>
        <w:pStyle w:val="ListNumber"/>
        <w:spacing w:after="80"/>
      </w:pPr>
      <w:r>
        <w:t>Implement threshold extraction and verify that every feature has the expected number of cells.</w:t>
      </w:r>
    </w:p>
    <w:p>
      <w:pPr>
        <w:pStyle w:val="ListNumber"/>
        <w:spacing w:after="80"/>
      </w:pPr>
      <w:r>
        <w:t>Implement binary cell encoding and a function that converts a real sample into cell bits.</w:t>
      </w:r>
    </w:p>
    <w:p>
      <w:pPr>
        <w:pStyle w:val="ListNumber"/>
        <w:spacing w:after="80"/>
      </w:pPr>
      <w:r>
        <w:t>Implement the less-or-equal comparator X_f &lt;= tau over binary bits.</w:t>
      </w:r>
    </w:p>
    <w:p>
      <w:pPr>
        <w:pStyle w:val="ListNumber"/>
        <w:spacing w:after="80"/>
      </w:pPr>
      <w:r>
        <w:t>Encode tree paths and check that each sample reaches the same leaf as scikit-learn.</w:t>
      </w:r>
    </w:p>
    <w:p>
      <w:pPr>
        <w:pStyle w:val="ListNumber"/>
        <w:spacing w:after="80"/>
      </w:pPr>
      <w:r>
        <w:t>Add label counters and compose trees one at a time.</w:t>
      </w:r>
    </w:p>
    <w:p>
      <w:pPr>
        <w:pStyle w:val="ListNumber"/>
        <w:spacing w:after="80"/>
      </w:pPr>
      <w:r>
        <w:t>Create the BDD accumulator and record size after each tree.</w:t>
      </w:r>
    </w:p>
    <w:p>
      <w:pPr>
        <w:pStyle w:val="ListNumber"/>
        <w:spacing w:after="80"/>
      </w:pPr>
      <w:r>
        <w:t>Add the budgeted frontier: when a diagram exceeds budget B, split on one input bit and continue separately.</w:t>
      </w:r>
    </w:p>
    <w:p>
      <w:pPr>
        <w:pStyle w:val="ListNumber"/>
        <w:spacing w:after="80"/>
      </w:pPr>
      <w:r>
        <w:t>Implement the five selectors behind one common Select(A, strategy) interface.</w:t>
      </w:r>
    </w:p>
    <w:p>
      <w:pPr>
        <w:pStyle w:val="ListNumber"/>
        <w:spacing w:after="80"/>
      </w:pPr>
      <w:r>
        <w:t>Add readouts and robustness shortest-path computation.</w:t>
      </w:r>
    </w:p>
    <w:p>
      <w:pPr>
        <w:pStyle w:val="ListNumber"/>
        <w:spacing w:after="80"/>
      </w:pPr>
      <w:r>
        <w:t>Only then scale to all datasets, budgets, and selectors.</w:t>
      </w:r>
    </w:p>
    <w:p>
      <w:pPr>
        <w:pStyle w:val="Heading1"/>
      </w:pPr>
      <w:r>
        <w:t>Key algorithms</w:t>
      </w:r>
    </w:p>
    <w:p>
      <w:pPr>
        <w:pStyle w:val="Heading2"/>
      </w:pPr>
      <w:r>
        <w:t>Discretization</w:t>
      </w:r>
    </w:p>
    <w:p>
      <w:r>
        <w:t>For each feature, collect all thresholds used by all trees, sort them, and form intervals. A feature value is replaced by the index of the interval it belongs to. This translation is lossless for the forest because the forest can only see threshold-test outcomes.</w:t>
      </w:r>
    </w:p>
    <w:p>
      <w:pPr>
        <w:pStyle w:val="Heading2"/>
      </w:pPr>
      <w:r>
        <w:t>Binary cell encoding</w:t>
      </w:r>
    </w:p>
    <w:p>
      <w:r>
        <w:t>If a feature has K cells, use ceil(log2(K)) Boolean variables. The binary number represented by those bits is the cell index. If the number is above the last real cell, treat it as the last cell.</w:t>
      </w:r>
    </w:p>
    <w:p>
      <w:pPr>
        <w:pStyle w:val="Heading2"/>
      </w:pPr>
      <w:r>
        <w:t>Node-test comparator</w:t>
      </w:r>
    </w:p>
    <w:p>
      <w:r>
        <w:t>A decision node tests whether a feature is at or below a threshold. After discretization, this becomes a comparison between the binary cell index and a fixed threshold index tau. Implement this with a bit-by-bit less-or-equal formula, from most significant bit to least significant bit.</w:t>
      </w:r>
    </w:p>
    <w:p>
      <w:pPr>
        <w:pStyle w:val="Heading2"/>
      </w:pPr>
      <w:r>
        <w:t>Budgeted frontier</w:t>
      </w:r>
    </w:p>
    <w:p>
      <w:r>
        <w:t>Compose trees until the accumulator becomes too large. Then choose an input bit, create two branches with that bit fixed to 0 and 1, restrict all remaining tree formulas to that branch, and continue. The final leaves partition the input space, so counts and robustness values can be combined exactly.</w:t>
      </w:r>
    </w:p>
    <w:p>
      <w:pPr>
        <w:pStyle w:val="Heading1"/>
      </w:pPr>
      <w:r>
        <w:t>Selector interface</w:t>
      </w:r>
    </w:p>
    <w:tbl>
      <w:tblPr>
        <w:tblStyle w:val="TableGrid"/>
        <w:tblW w:type="dxa" w:w="9360"/>
        <w:jc w:val="left"/>
        <w:tblLayout w:type="fixed"/>
        <w:tblLook w:firstColumn="1" w:firstRow="1" w:lastColumn="0" w:lastRow="0" w:noHBand="0" w:noVBand="1" w:val="04A0"/>
      </w:tblPr>
      <w:tblGrid>
        <w:gridCol w:w="4680"/>
        <w:gridCol w:w="4680"/>
      </w:tblGrid>
      <w:tr>
        <w:tc>
          <w:tcPr>
            <w:tcW w:type="dxa" w:w="2448"/>
            <w:shd w:fill="F2F4F7"/>
            <w:vAlign w:val="center"/>
            <w:tcMar>
              <w:top w:w="80" w:type="dxa"/>
              <w:start w:w="120" w:type="dxa"/>
              <w:bottom w:w="80" w:type="dxa"/>
              <w:end w:w="120" w:type="dxa"/>
            </w:tcMar>
          </w:tcPr>
          <w:p>
            <w:r>
              <w:rPr>
                <w:rFonts w:ascii="Calibri" w:hAnsi="Calibri"/>
                <w:b/>
              </w:rPr>
              <w:t>Strategy</w:t>
            </w:r>
          </w:p>
        </w:tc>
        <w:tc>
          <w:tcPr>
            <w:tcW w:type="dxa" w:w="6912"/>
            <w:shd w:fill="F2F4F7"/>
            <w:vAlign w:val="center"/>
            <w:tcMar>
              <w:top w:w="80" w:type="dxa"/>
              <w:start w:w="120" w:type="dxa"/>
              <w:bottom w:w="80" w:type="dxa"/>
              <w:end w:w="120" w:type="dxa"/>
            </w:tcMar>
          </w:tcPr>
          <w:p>
            <w:r>
              <w:rPr>
                <w:rFonts w:ascii="Calibri" w:hAnsi="Calibri"/>
                <w:b/>
              </w:rPr>
              <w:t>What it chooses</w:t>
            </w:r>
          </w:p>
        </w:tc>
      </w:tr>
      <w:tr>
        <w:tc>
          <w:tcPr>
            <w:tcW w:type="dxa" w:w="2448"/>
            <w:vAlign w:val="center"/>
            <w:tcMar>
              <w:top w:w="80" w:type="dxa"/>
              <w:start w:w="120" w:type="dxa"/>
              <w:bottom w:w="80" w:type="dxa"/>
              <w:end w:w="120" w:type="dxa"/>
            </w:tcMar>
          </w:tcPr>
          <w:p>
            <w:r>
              <w:t>Information gain</w:t>
            </w:r>
          </w:p>
        </w:tc>
        <w:tc>
          <w:tcPr>
            <w:tcW w:type="dxa" w:w="6912"/>
            <w:vAlign w:val="center"/>
            <w:tcMar>
              <w:top w:w="80" w:type="dxa"/>
              <w:start w:w="120" w:type="dxa"/>
              <w:bottom w:w="80" w:type="dxa"/>
              <w:end w:w="120" w:type="dxa"/>
            </w:tcMar>
          </w:tcPr>
          <w:p>
            <w:r>
              <w:t>The bit that creates the most balanced split of the solution set.</w:t>
            </w:r>
          </w:p>
        </w:tc>
      </w:tr>
      <w:tr>
        <w:tc>
          <w:tcPr>
            <w:tcW w:type="dxa" w:w="2448"/>
            <w:vAlign w:val="center"/>
            <w:tcMar>
              <w:top w:w="80" w:type="dxa"/>
              <w:start w:w="120" w:type="dxa"/>
              <w:bottom w:w="80" w:type="dxa"/>
              <w:end w:w="120" w:type="dxa"/>
            </w:tcMar>
          </w:tcPr>
          <w:p>
            <w:r>
              <w:t>Shapley value</w:t>
            </w:r>
          </w:p>
        </w:tc>
        <w:tc>
          <w:tcPr>
            <w:tcW w:type="dxa" w:w="6912"/>
            <w:vAlign w:val="center"/>
            <w:tcMar>
              <w:top w:w="80" w:type="dxa"/>
              <w:start w:w="120" w:type="dxa"/>
              <w:bottom w:w="80" w:type="dxa"/>
              <w:end w:w="120" w:type="dxa"/>
            </w:tcMar>
          </w:tcPr>
          <w:p>
            <w:r>
              <w:t>The bit with strongest contribution in the coalition counting game.</w:t>
            </w:r>
          </w:p>
        </w:tc>
      </w:tr>
      <w:tr>
        <w:tc>
          <w:tcPr>
            <w:tcW w:type="dxa" w:w="2448"/>
            <w:vAlign w:val="center"/>
            <w:tcMar>
              <w:top w:w="80" w:type="dxa"/>
              <w:start w:w="120" w:type="dxa"/>
              <w:bottom w:w="80" w:type="dxa"/>
              <w:end w:w="120" w:type="dxa"/>
            </w:tcMar>
          </w:tcPr>
          <w:p>
            <w:r>
              <w:t>Association p-value</w:t>
            </w:r>
          </w:p>
        </w:tc>
        <w:tc>
          <w:tcPr>
            <w:tcW w:type="dxa" w:w="6912"/>
            <w:vAlign w:val="center"/>
            <w:tcMar>
              <w:top w:w="80" w:type="dxa"/>
              <w:start w:w="120" w:type="dxa"/>
              <w:bottom w:w="80" w:type="dxa"/>
              <w:end w:w="120" w:type="dxa"/>
            </w:tcMar>
          </w:tcPr>
          <w:p>
            <w:r>
              <w:t>The bit most significantly associated with the solution set.</w:t>
            </w:r>
          </w:p>
        </w:tc>
      </w:tr>
      <w:tr>
        <w:tc>
          <w:tcPr>
            <w:tcW w:type="dxa" w:w="2448"/>
            <w:vAlign w:val="center"/>
            <w:tcMar>
              <w:top w:w="80" w:type="dxa"/>
              <w:start w:w="120" w:type="dxa"/>
              <w:bottom w:w="80" w:type="dxa"/>
              <w:end w:w="120" w:type="dxa"/>
            </w:tcMar>
          </w:tcPr>
          <w:p>
            <w:r>
              <w:t>Random node</w:t>
            </w:r>
          </w:p>
        </w:tc>
        <w:tc>
          <w:tcPr>
            <w:tcW w:type="dxa" w:w="6912"/>
            <w:vAlign w:val="center"/>
            <w:tcMar>
              <w:top w:w="80" w:type="dxa"/>
              <w:start w:w="120" w:type="dxa"/>
              <w:bottom w:w="80" w:type="dxa"/>
              <w:end w:w="120" w:type="dxa"/>
            </w:tcMar>
          </w:tcPr>
          <w:p>
            <w:r>
              <w:t>A variable sampled from a random BDD node; variables with more nodes are more likely.</w:t>
            </w:r>
          </w:p>
        </w:tc>
      </w:tr>
      <w:tr>
        <w:tc>
          <w:tcPr>
            <w:tcW w:type="dxa" w:w="2448"/>
            <w:vAlign w:val="center"/>
            <w:tcMar>
              <w:top w:w="80" w:type="dxa"/>
              <w:start w:w="120" w:type="dxa"/>
              <w:bottom w:w="80" w:type="dxa"/>
              <w:end w:w="120" w:type="dxa"/>
            </w:tcMar>
          </w:tcPr>
          <w:p>
            <w:r>
              <w:t>Modal variable</w:t>
            </w:r>
          </w:p>
        </w:tc>
        <w:tc>
          <w:tcPr>
            <w:tcW w:type="dxa" w:w="6912"/>
            <w:vAlign w:val="center"/>
            <w:tcMar>
              <w:top w:w="80" w:type="dxa"/>
              <w:start w:w="120" w:type="dxa"/>
              <w:bottom w:w="80" w:type="dxa"/>
              <w:end w:w="120" w:type="dxa"/>
            </w:tcMar>
          </w:tcPr>
          <w:p>
            <w:r>
              <w:t>The variable that appears on the largest number of BDD nodes.</w:t>
            </w:r>
          </w:p>
        </w:tc>
      </w:tr>
    </w:tbl>
    <w:p/>
    <w:p>
      <w:pPr>
        <w:pStyle w:val="Heading1"/>
      </w:pPr>
      <w:r>
        <w:t>Testing checklist</w:t>
      </w:r>
    </w:p>
    <w:p>
      <w:pPr>
        <w:pStyle w:val="ListBullet"/>
        <w:spacing w:after="80"/>
      </w:pPr>
      <w:r>
        <w:t>For sample inputs, the encoded tree leaf must match the original scikit-learn tree leaf.</w:t>
      </w:r>
    </w:p>
    <w:p>
      <w:pPr>
        <w:pStyle w:val="ListBullet"/>
        <w:spacing w:after="80"/>
      </w:pPr>
      <w:r>
        <w:t>For a small forest, final BDD predictions must match the random forest majority vote.</w:t>
      </w:r>
    </w:p>
    <w:p>
      <w:pPr>
        <w:pStyle w:val="ListBullet"/>
        <w:spacing w:after="80"/>
      </w:pPr>
      <w:r>
        <w:t>Every frontier split must produce disjoint branches that cover the original branch.</w:t>
      </w:r>
    </w:p>
    <w:p>
      <w:pPr>
        <w:pStyle w:val="ListBullet"/>
        <w:spacing w:after="80"/>
      </w:pPr>
      <w:r>
        <w:t>Model counts over frontier leaves must sum to the global count.</w:t>
      </w:r>
    </w:p>
    <w:p>
      <w:pPr>
        <w:pStyle w:val="ListBullet"/>
        <w:spacing w:after="80"/>
      </w:pPr>
      <w:r>
        <w:t>Robustness for a sample's own certified class should be 0.</w:t>
      </w:r>
    </w:p>
    <w:p>
      <w:pPr>
        <w:pStyle w:val="ListBullet"/>
        <w:spacing w:after="80"/>
      </w:pPr>
      <w:r>
        <w:t>Experiments must record runtime, peak diagram size, number of leaves, selector, budget, dataset, and tree count.</w:t>
      </w:r>
    </w:p>
    <w:p>
      <w:pPr>
        <w:pStyle w:val="Heading1"/>
      </w:pPr>
      <w:r>
        <w:t>Expected output files</w:t>
      </w:r>
    </w:p>
    <w:tbl>
      <w:tblPr>
        <w:tblStyle w:val="TableGrid"/>
        <w:tblW w:type="dxa" w:w="9360"/>
        <w:jc w:val="left"/>
        <w:tblLayout w:type="fixed"/>
        <w:tblLook w:firstColumn="1" w:firstRow="1" w:lastColumn="0" w:lastRow="0" w:noHBand="0" w:noVBand="1" w:val="04A0"/>
      </w:tblPr>
      <w:tblGrid>
        <w:gridCol w:w="4680"/>
        <w:gridCol w:w="4680"/>
      </w:tblGrid>
      <w:tr>
        <w:tc>
          <w:tcPr>
            <w:tcW w:type="dxa" w:w="3024"/>
            <w:shd w:fill="F2F4F7"/>
            <w:vAlign w:val="center"/>
            <w:tcMar>
              <w:top w:w="80" w:type="dxa"/>
              <w:start w:w="120" w:type="dxa"/>
              <w:bottom w:w="80" w:type="dxa"/>
              <w:end w:w="120" w:type="dxa"/>
            </w:tcMar>
          </w:tcPr>
          <w:p>
            <w:r>
              <w:rPr>
                <w:rFonts w:ascii="Calibri" w:hAnsi="Calibri"/>
                <w:b/>
              </w:rPr>
              <w:t>File</w:t>
            </w:r>
          </w:p>
        </w:tc>
        <w:tc>
          <w:tcPr>
            <w:tcW w:type="dxa" w:w="6336"/>
            <w:shd w:fill="F2F4F7"/>
            <w:vAlign w:val="center"/>
            <w:tcMar>
              <w:top w:w="80" w:type="dxa"/>
              <w:start w:w="120" w:type="dxa"/>
              <w:bottom w:w="80" w:type="dxa"/>
              <w:end w:w="120" w:type="dxa"/>
            </w:tcMar>
          </w:tcPr>
          <w:p>
            <w:r>
              <w:rPr>
                <w:rFonts w:ascii="Calibri" w:hAnsi="Calibri"/>
                <w:b/>
              </w:rPr>
              <w:t>Contents</w:t>
            </w:r>
          </w:p>
        </w:tc>
      </w:tr>
      <w:tr>
        <w:tc>
          <w:tcPr>
            <w:tcW w:type="dxa" w:w="3024"/>
            <w:vAlign w:val="center"/>
            <w:tcMar>
              <w:top w:w="80" w:type="dxa"/>
              <w:start w:w="120" w:type="dxa"/>
              <w:bottom w:w="80" w:type="dxa"/>
              <w:end w:w="120" w:type="dxa"/>
            </w:tcMar>
          </w:tcPr>
          <w:p>
            <w:r>
              <w:t>experiment_results.csv</w:t>
            </w:r>
          </w:p>
        </w:tc>
        <w:tc>
          <w:tcPr>
            <w:tcW w:type="dxa" w:w="6336"/>
            <w:vAlign w:val="center"/>
            <w:tcMar>
              <w:top w:w="80" w:type="dxa"/>
              <w:start w:w="120" w:type="dxa"/>
              <w:bottom w:w="80" w:type="dxa"/>
              <w:end w:w="120" w:type="dxa"/>
            </w:tcMar>
          </w:tcPr>
          <w:p>
            <w:r>
              <w:t>One row per dataset, budget, selector, and tree count.</w:t>
            </w:r>
          </w:p>
        </w:tc>
      </w:tr>
      <w:tr>
        <w:tc>
          <w:tcPr>
            <w:tcW w:type="dxa" w:w="3024"/>
            <w:vAlign w:val="center"/>
            <w:tcMar>
              <w:top w:w="80" w:type="dxa"/>
              <w:start w:w="120" w:type="dxa"/>
              <w:bottom w:w="80" w:type="dxa"/>
              <w:end w:w="120" w:type="dxa"/>
            </w:tcMar>
          </w:tcPr>
          <w:p>
            <w:r>
              <w:t>robustness_results.csv</w:t>
            </w:r>
          </w:p>
        </w:tc>
        <w:tc>
          <w:tcPr>
            <w:tcW w:type="dxa" w:w="6336"/>
            <w:vAlign w:val="center"/>
            <w:tcMar>
              <w:top w:w="80" w:type="dxa"/>
              <w:start w:w="120" w:type="dxa"/>
              <w:bottom w:w="80" w:type="dxa"/>
              <w:end w:w="120" w:type="dxa"/>
            </w:tcMar>
          </w:tcPr>
          <w:p>
            <w:r>
              <w:t>One row per test sample and target label.</w:t>
            </w:r>
          </w:p>
        </w:tc>
      </w:tr>
      <w:tr>
        <w:tc>
          <w:tcPr>
            <w:tcW w:type="dxa" w:w="3024"/>
            <w:vAlign w:val="center"/>
            <w:tcMar>
              <w:top w:w="80" w:type="dxa"/>
              <w:start w:w="120" w:type="dxa"/>
              <w:bottom w:w="80" w:type="dxa"/>
              <w:end w:w="120" w:type="dxa"/>
            </w:tcMar>
          </w:tcPr>
          <w:p>
            <w:r>
              <w:t>variable_rankings.csv</w:t>
            </w:r>
          </w:p>
        </w:tc>
        <w:tc>
          <w:tcPr>
            <w:tcW w:type="dxa" w:w="6336"/>
            <w:vAlign w:val="center"/>
            <w:tcMar>
              <w:top w:w="80" w:type="dxa"/>
              <w:start w:w="120" w:type="dxa"/>
              <w:bottom w:w="80" w:type="dxa"/>
              <w:end w:w="120" w:type="dxa"/>
            </w:tcMar>
          </w:tcPr>
          <w:p>
            <w:r>
              <w:t>Information gain, Shapley, and p-value rankings by model.</w:t>
            </w:r>
          </w:p>
        </w:tc>
      </w:tr>
      <w:tr>
        <w:tc>
          <w:tcPr>
            <w:tcW w:type="dxa" w:w="3024"/>
            <w:vAlign w:val="center"/>
            <w:tcMar>
              <w:top w:w="80" w:type="dxa"/>
              <w:start w:w="120" w:type="dxa"/>
              <w:bottom w:w="80" w:type="dxa"/>
              <w:end w:w="120" w:type="dxa"/>
            </w:tcMar>
          </w:tcPr>
          <w:p>
            <w:r>
              <w:t>figures/</w:t>
            </w:r>
          </w:p>
        </w:tc>
        <w:tc>
          <w:tcPr>
            <w:tcW w:type="dxa" w:w="6336"/>
            <w:vAlign w:val="center"/>
            <w:tcMar>
              <w:top w:w="80" w:type="dxa"/>
              <w:start w:w="120" w:type="dxa"/>
              <w:bottom w:w="80" w:type="dxa"/>
              <w:end w:w="120" w:type="dxa"/>
            </w:tcMar>
          </w:tcPr>
          <w:p>
            <w:r>
              <w:t>Runtime, peak size, completion rate, and robustness distribution plots.</w:t>
            </w:r>
          </w:p>
        </w:tc>
      </w:tr>
    </w:tbl>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BDSS Random-Forest Robustness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