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0000"/>
          <w:sz w:val="46"/>
        </w:rPr>
        <w:t>Report Draft: Robustness of a Random-Forest Classifier</w:t>
      </w:r>
    </w:p>
    <w:p>
      <w:pPr>
        <w:spacing w:after="280"/>
      </w:pPr>
      <w:r>
        <w:rPr>
          <w:rFonts w:ascii="Calibri" w:hAnsi="Calibri"/>
          <w:color w:val="505050"/>
          <w:sz w:val="24"/>
        </w:rPr>
        <w:t>Prepared from the BDSS project assignment. Replace placeholders after running the experiments.</w:t>
      </w:r>
    </w:p>
    <w:p>
      <w:pPr>
        <w:pStyle w:val="Heading1"/>
      </w:pPr>
      <w:r>
        <w:t>Abstract</w:t>
      </w:r>
    </w:p>
    <w:p>
      <w:r>
        <w:t>This report studies the robustness of trained random-forest classifiers using a post-hoc logical encoding. The forest is treated as a fixed object. Its threshold tests induce a deterministic discretization of the input space, which is encoded with binary cell-index variables and composed into OBDDs. A budgeted frontier decomposition is used to control diagram growth. The study compares five split-variable selection strategies and measures completion, peak diagram size, runtime, and test-set robustness.</w:t>
      </w:r>
    </w:p>
    <w:p>
      <w:pPr>
        <w:pStyle w:val="Heading1"/>
      </w:pPr>
      <w:r>
        <w:t>1. Problem and Objective</w:t>
      </w:r>
    </w:p>
    <w:p>
      <w:r>
        <w:t>The objective is to determine how robust a random forest is against small changes in the discretized input representation. Robustness is measured as the minimum number of binary cell-index bit switches needed to reach a target certified label. The project also evaluates how different frontier-splitting strategies affect the feasibility of constructing the OBDD representation.</w:t>
      </w:r>
    </w:p>
    <w:p>
      <w:pPr>
        <w:pStyle w:val="Heading1"/>
      </w:pPr>
      <w:r>
        <w:t>2. Method</w:t>
      </w:r>
    </w:p>
    <w:p>
      <w:pPr>
        <w:pStyle w:val="Heading2"/>
      </w:pPr>
      <w:r>
        <w:t>2.1 Forest-induced discretization</w:t>
      </w:r>
    </w:p>
    <w:p>
      <w:r>
        <w:t>For each feature, all thresholds appearing in the forest are collected and sorted. These thresholds define intervals called cells. A real-valued sample is translated into the integer index of the cell containing each feature value. This translation preserves the behavior of the forest because all decisions depend only on threshold comparisons.</w:t>
      </w:r>
    </w:p>
    <w:p>
      <w:pPr>
        <w:pStyle w:val="Heading2"/>
      </w:pPr>
      <w:r>
        <w:t>2.2 Binary encoding</w:t>
      </w:r>
    </w:p>
    <w:p>
      <w:r>
        <w:t>Each feature cell index is represented in binary using ceil(log2(cells(f))) Boolean variables. This reduces the number of propositional variables compared with a one-variable-per-cell encoding.</w:t>
      </w:r>
    </w:p>
    <w:p>
      <w:pPr>
        <w:pStyle w:val="Heading2"/>
      </w:pPr>
      <w:r>
        <w:t>2.3 Tree and forest encoding</w:t>
      </w:r>
    </w:p>
    <w:p>
      <w:r>
        <w:t>Each internal node is encoded as a less-or-equal comparator between a binary cell index and a fixed threshold index. Each leaf is represented by the conjunction of signed node tests along its path. Tree votes are accumulated through label counters, and win flags represent certified winners.</w:t>
      </w:r>
    </w:p>
    <w:p>
      <w:pPr>
        <w:pStyle w:val="Heading2"/>
      </w:pPr>
      <w:r>
        <w:t>2.4 Budgeted frontier decomposition</w:t>
      </w:r>
    </w:p>
    <w:p>
      <w:r>
        <w:t>When an accumulator exceeds the chosen diagram-size budget, the algorithm splits on one input bit and continues separately on the two cofactors. The remaining tree relations are restricted to the branch assignment. The final leaves form a disjoint partition of the input space, so additive quantities can be summed exactly and robustness can be computed as a minimum over leaves.</w:t>
      </w:r>
    </w:p>
    <w:p>
      <w:pPr>
        <w:pStyle w:val="Heading1"/>
      </w:pPr>
      <w:r>
        <w:t>3. Selection Strategies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232"/>
            <w:shd w:fill="F2F4F7"/>
            <w:vAlign w:val="center"/>
            <w:tcMar>
              <w:top w:w="80" w:type="dxa"/>
              <w:start w:w="120" w:type="dxa"/>
              <w:bottom w:w="80" w:type="dxa"/>
              <w:end w:w="120" w:type="dxa"/>
            </w:tcMar>
          </w:tcPr>
          <w:p>
            <w:r>
              <w:rPr>
                <w:rFonts w:ascii="Calibri" w:hAnsi="Calibri"/>
                <w:b/>
              </w:rPr>
              <w:t>Selector</w:t>
            </w:r>
          </w:p>
        </w:tc>
        <w:tc>
          <w:tcPr>
            <w:tcW w:type="dxa" w:w="1800"/>
            <w:shd w:fill="F2F4F7"/>
            <w:vAlign w:val="center"/>
            <w:tcMar>
              <w:top w:w="80" w:type="dxa"/>
              <w:start w:w="120" w:type="dxa"/>
              <w:bottom w:w="80" w:type="dxa"/>
              <w:end w:w="120" w:type="dxa"/>
            </w:tcMar>
          </w:tcPr>
          <w:p>
            <w:r>
              <w:rPr>
                <w:rFonts w:ascii="Calibri" w:hAnsi="Calibri"/>
                <w:b/>
              </w:rPr>
              <w:t>Category</w:t>
            </w:r>
          </w:p>
        </w:tc>
        <w:tc>
          <w:tcPr>
            <w:tcW w:type="dxa" w:w="5328"/>
            <w:shd w:fill="F2F4F7"/>
            <w:vAlign w:val="center"/>
            <w:tcMar>
              <w:top w:w="80" w:type="dxa"/>
              <w:start w:w="120" w:type="dxa"/>
              <w:bottom w:w="80" w:type="dxa"/>
              <w:end w:w="120" w:type="dxa"/>
            </w:tcMar>
          </w:tcPr>
          <w:p>
            <w:r>
              <w:rPr>
                <w:rFonts w:ascii="Calibri" w:hAnsi="Calibri"/>
                <w:b/>
              </w:rPr>
              <w:t>Evaluation purpose</w:t>
            </w:r>
          </w:p>
        </w:tc>
      </w:tr>
      <w:tr>
        <w:tc>
          <w:tcPr>
            <w:tcW w:type="dxa" w:w="2232"/>
            <w:vAlign w:val="center"/>
            <w:tcMar>
              <w:top w:w="80" w:type="dxa"/>
              <w:start w:w="120" w:type="dxa"/>
              <w:bottom w:w="80" w:type="dxa"/>
              <w:end w:w="120" w:type="dxa"/>
            </w:tcMar>
          </w:tcPr>
          <w:p>
            <w:r>
              <w:t>Information gain</w:t>
            </w:r>
          </w:p>
        </w:tc>
        <w:tc>
          <w:tcPr>
            <w:tcW w:type="dxa" w:w="1800"/>
            <w:vAlign w:val="center"/>
            <w:tcMar>
              <w:top w:w="80" w:type="dxa"/>
              <w:start w:w="120" w:type="dxa"/>
              <w:bottom w:w="80" w:type="dxa"/>
              <w:end w:w="120" w:type="dxa"/>
            </w:tcMar>
          </w:tcPr>
          <w:p>
            <w:r>
              <w:t>Semantic</w:t>
            </w:r>
          </w:p>
        </w:tc>
        <w:tc>
          <w:tcPr>
            <w:tcW w:type="dxa" w:w="5328"/>
            <w:vAlign w:val="center"/>
            <w:tcMar>
              <w:top w:w="80" w:type="dxa"/>
              <w:start w:w="120" w:type="dxa"/>
              <w:bottom w:w="80" w:type="dxa"/>
              <w:end w:w="120" w:type="dxa"/>
            </w:tcMar>
          </w:tcPr>
          <w:p>
            <w:r>
              <w:t>Finds balanced splits of the solution set.</w:t>
            </w:r>
          </w:p>
        </w:tc>
      </w:tr>
      <w:tr>
        <w:tc>
          <w:tcPr>
            <w:tcW w:type="dxa" w:w="2232"/>
            <w:vAlign w:val="center"/>
            <w:tcMar>
              <w:top w:w="80" w:type="dxa"/>
              <w:start w:w="120" w:type="dxa"/>
              <w:bottom w:w="80" w:type="dxa"/>
              <w:end w:w="120" w:type="dxa"/>
            </w:tcMar>
          </w:tcPr>
          <w:p>
            <w:r>
              <w:t>Shapley value</w:t>
            </w:r>
          </w:p>
        </w:tc>
        <w:tc>
          <w:tcPr>
            <w:tcW w:type="dxa" w:w="1800"/>
            <w:vAlign w:val="center"/>
            <w:tcMar>
              <w:top w:w="80" w:type="dxa"/>
              <w:start w:w="120" w:type="dxa"/>
              <w:bottom w:w="80" w:type="dxa"/>
              <w:end w:w="120" w:type="dxa"/>
            </w:tcMar>
          </w:tcPr>
          <w:p>
            <w:r>
              <w:t>Semantic</w:t>
            </w:r>
          </w:p>
        </w:tc>
        <w:tc>
          <w:tcPr>
            <w:tcW w:type="dxa" w:w="5328"/>
            <w:vAlign w:val="center"/>
            <w:tcMar>
              <w:top w:w="80" w:type="dxa"/>
              <w:start w:w="120" w:type="dxa"/>
              <w:bottom w:w="80" w:type="dxa"/>
              <w:end w:w="120" w:type="dxa"/>
            </w:tcMar>
          </w:tcPr>
          <w:p>
            <w:r>
              <w:t>Ranks variables by contribution to solution count.</w:t>
            </w:r>
          </w:p>
        </w:tc>
      </w:tr>
      <w:tr>
        <w:tc>
          <w:tcPr>
            <w:tcW w:type="dxa" w:w="2232"/>
            <w:vAlign w:val="center"/>
            <w:tcMar>
              <w:top w:w="80" w:type="dxa"/>
              <w:start w:w="120" w:type="dxa"/>
              <w:bottom w:w="80" w:type="dxa"/>
              <w:end w:w="120" w:type="dxa"/>
            </w:tcMar>
          </w:tcPr>
          <w:p>
            <w:r>
              <w:t>Association p-value</w:t>
            </w:r>
          </w:p>
        </w:tc>
        <w:tc>
          <w:tcPr>
            <w:tcW w:type="dxa" w:w="1800"/>
            <w:vAlign w:val="center"/>
            <w:tcMar>
              <w:top w:w="80" w:type="dxa"/>
              <w:start w:w="120" w:type="dxa"/>
              <w:bottom w:w="80" w:type="dxa"/>
              <w:end w:w="120" w:type="dxa"/>
            </w:tcMar>
          </w:tcPr>
          <w:p>
            <w:r>
              <w:t>Semantic</w:t>
            </w:r>
          </w:p>
        </w:tc>
        <w:tc>
          <w:tcPr>
            <w:tcW w:type="dxa" w:w="5328"/>
            <w:vAlign w:val="center"/>
            <w:tcMar>
              <w:top w:w="80" w:type="dxa"/>
              <w:start w:w="120" w:type="dxa"/>
              <w:bottom w:w="80" w:type="dxa"/>
              <w:end w:w="120" w:type="dxa"/>
            </w:tcMar>
          </w:tcPr>
          <w:p>
            <w:r>
              <w:t>Finds statistically strong variable-solution associations.</w:t>
            </w:r>
          </w:p>
        </w:tc>
      </w:tr>
      <w:tr>
        <w:tc>
          <w:tcPr>
            <w:tcW w:type="dxa" w:w="2232"/>
            <w:vAlign w:val="center"/>
            <w:tcMar>
              <w:top w:w="80" w:type="dxa"/>
              <w:start w:w="120" w:type="dxa"/>
              <w:bottom w:w="80" w:type="dxa"/>
              <w:end w:w="120" w:type="dxa"/>
            </w:tcMar>
          </w:tcPr>
          <w:p>
            <w:r>
              <w:t>Random node</w:t>
            </w:r>
          </w:p>
        </w:tc>
        <w:tc>
          <w:tcPr>
            <w:tcW w:type="dxa" w:w="1800"/>
            <w:vAlign w:val="center"/>
            <w:tcMar>
              <w:top w:w="80" w:type="dxa"/>
              <w:start w:w="120" w:type="dxa"/>
              <w:bottom w:w="80" w:type="dxa"/>
              <w:end w:w="120" w:type="dxa"/>
            </w:tcMar>
          </w:tcPr>
          <w:p>
            <w:r>
              <w:t>Structural</w:t>
            </w:r>
          </w:p>
        </w:tc>
        <w:tc>
          <w:tcPr>
            <w:tcW w:type="dxa" w:w="5328"/>
            <w:vAlign w:val="center"/>
            <w:tcMar>
              <w:top w:w="80" w:type="dxa"/>
              <w:start w:w="120" w:type="dxa"/>
              <w:bottom w:w="80" w:type="dxa"/>
              <w:end w:w="120" w:type="dxa"/>
            </w:tcMar>
          </w:tcPr>
          <w:p>
            <w:r>
              <w:t>Baseline weighted by variable presence in the BDD.</w:t>
            </w:r>
          </w:p>
        </w:tc>
      </w:tr>
      <w:tr>
        <w:tc>
          <w:tcPr>
            <w:tcW w:type="dxa" w:w="2232"/>
            <w:vAlign w:val="center"/>
            <w:tcMar>
              <w:top w:w="80" w:type="dxa"/>
              <w:start w:w="120" w:type="dxa"/>
              <w:bottom w:w="80" w:type="dxa"/>
              <w:end w:w="120" w:type="dxa"/>
            </w:tcMar>
          </w:tcPr>
          <w:p>
            <w:r>
              <w:t>Modal variable</w:t>
            </w:r>
          </w:p>
        </w:tc>
        <w:tc>
          <w:tcPr>
            <w:tcW w:type="dxa" w:w="1800"/>
            <w:vAlign w:val="center"/>
            <w:tcMar>
              <w:top w:w="80" w:type="dxa"/>
              <w:start w:w="120" w:type="dxa"/>
              <w:bottom w:w="80" w:type="dxa"/>
              <w:end w:w="120" w:type="dxa"/>
            </w:tcMar>
          </w:tcPr>
          <w:p>
            <w:r>
              <w:t>Structural</w:t>
            </w:r>
          </w:p>
        </w:tc>
        <w:tc>
          <w:tcPr>
            <w:tcW w:type="dxa" w:w="5328"/>
            <w:vAlign w:val="center"/>
            <w:tcMar>
              <w:top w:w="80" w:type="dxa"/>
              <w:start w:w="120" w:type="dxa"/>
              <w:bottom w:w="80" w:type="dxa"/>
              <w:end w:w="120" w:type="dxa"/>
            </w:tcMar>
          </w:tcPr>
          <w:p>
            <w:r>
              <w:t>Baseline selecting the most frequent BDD variable.</w:t>
            </w:r>
          </w:p>
        </w:tc>
      </w:tr>
    </w:tbl>
    <w:p/>
    <w:p>
      <w:pPr>
        <w:pStyle w:val="Heading1"/>
      </w:pPr>
      <w:r>
        <w:t>4. Experimental Setup</w:t>
      </w:r>
    </w:p>
    <w:p>
      <w:r>
        <w:t>The framework should be run over the provided trained forests. For each dataset, budget, selector, and tree count, record whether construction completes, the peak diagram size, the number of frontier leaves, and runtime. If a full forest cannot complete, use the longest prefix of trees that completes under the resource limits.</w:t>
      </w:r>
    </w:p>
    <w:tbl>
      <w:tblPr>
        <w:tblStyle w:val="TableGrid"/>
        <w:tblW w:type="dxa" w:w="9360"/>
        <w:jc w:val="left"/>
        <w:tblLayout w:type="fixed"/>
        <w:tblLook w:firstColumn="1" w:firstRow="1" w:lastColumn="0" w:lastRow="0" w:noHBand="0" w:noVBand="1" w:val="04A0"/>
      </w:tblPr>
      <w:tblGrid>
        <w:gridCol w:w="4680"/>
        <w:gridCol w:w="4680"/>
      </w:tblGrid>
      <w:tr>
        <w:tc>
          <w:tcPr>
            <w:tcW w:type="dxa" w:w="2520"/>
            <w:shd w:fill="F2F4F7"/>
            <w:vAlign w:val="center"/>
            <w:tcMar>
              <w:top w:w="80" w:type="dxa"/>
              <w:start w:w="120" w:type="dxa"/>
              <w:bottom w:w="80" w:type="dxa"/>
              <w:end w:w="120" w:type="dxa"/>
            </w:tcMar>
          </w:tcPr>
          <w:p>
            <w:r>
              <w:rPr>
                <w:rFonts w:ascii="Calibri" w:hAnsi="Calibri"/>
                <w:b/>
              </w:rPr>
              <w:t>Parameter</w:t>
            </w:r>
          </w:p>
        </w:tc>
        <w:tc>
          <w:tcPr>
            <w:tcW w:type="dxa" w:w="6840"/>
            <w:shd w:fill="F2F4F7"/>
            <w:vAlign w:val="center"/>
            <w:tcMar>
              <w:top w:w="80" w:type="dxa"/>
              <w:start w:w="120" w:type="dxa"/>
              <w:bottom w:w="80" w:type="dxa"/>
              <w:end w:w="120" w:type="dxa"/>
            </w:tcMar>
          </w:tcPr>
          <w:p>
            <w:r>
              <w:rPr>
                <w:rFonts w:ascii="Calibri" w:hAnsi="Calibri"/>
                <w:b/>
              </w:rPr>
              <w:t>Planned values / notes</w:t>
            </w:r>
          </w:p>
        </w:tc>
      </w:tr>
      <w:tr>
        <w:tc>
          <w:tcPr>
            <w:tcW w:type="dxa" w:w="2520"/>
            <w:vAlign w:val="center"/>
            <w:tcMar>
              <w:top w:w="80" w:type="dxa"/>
              <w:start w:w="120" w:type="dxa"/>
              <w:bottom w:w="80" w:type="dxa"/>
              <w:end w:w="120" w:type="dxa"/>
            </w:tcMar>
          </w:tcPr>
          <w:p>
            <w:r>
              <w:t>Datasets</w:t>
            </w:r>
          </w:p>
        </w:tc>
        <w:tc>
          <w:tcPr>
            <w:tcW w:type="dxa" w:w="6840"/>
            <w:vAlign w:val="center"/>
            <w:tcMar>
              <w:top w:w="80" w:type="dxa"/>
              <w:start w:w="120" w:type="dxa"/>
              <w:bottom w:w="80" w:type="dxa"/>
              <w:end w:w="120" w:type="dxa"/>
            </w:tcMar>
          </w:tcPr>
          <w:p>
            <w:r>
              <w:t>54 provided datasets.</w:t>
            </w:r>
          </w:p>
        </w:tc>
      </w:tr>
      <w:tr>
        <w:tc>
          <w:tcPr>
            <w:tcW w:type="dxa" w:w="2520"/>
            <w:vAlign w:val="center"/>
            <w:tcMar>
              <w:top w:w="80" w:type="dxa"/>
              <w:start w:w="120" w:type="dxa"/>
              <w:bottom w:w="80" w:type="dxa"/>
              <w:end w:w="120" w:type="dxa"/>
            </w:tcMar>
          </w:tcPr>
          <w:p>
            <w:r>
              <w:t>Models</w:t>
            </w:r>
          </w:p>
        </w:tc>
        <w:tc>
          <w:tcPr>
            <w:tcW w:type="dxa" w:w="6840"/>
            <w:vAlign w:val="center"/>
            <w:tcMar>
              <w:top w:w="80" w:type="dxa"/>
              <w:start w:w="120" w:type="dxa"/>
              <w:bottom w:w="80" w:type="dxa"/>
              <w:end w:w="120" w:type="dxa"/>
            </w:tcMar>
          </w:tcPr>
          <w:p>
            <w:r>
              <w:t>datasets/&lt;name&gt;/&lt;name&gt;_rf.pkl.</w:t>
            </w:r>
          </w:p>
        </w:tc>
      </w:tr>
      <w:tr>
        <w:tc>
          <w:tcPr>
            <w:tcW w:type="dxa" w:w="2520"/>
            <w:vAlign w:val="center"/>
            <w:tcMar>
              <w:top w:w="80" w:type="dxa"/>
              <w:start w:w="120" w:type="dxa"/>
              <w:bottom w:w="80" w:type="dxa"/>
              <w:end w:w="120" w:type="dxa"/>
            </w:tcMar>
          </w:tcPr>
          <w:p>
            <w:r>
              <w:t>Tree counts</w:t>
            </w:r>
          </w:p>
        </w:tc>
        <w:tc>
          <w:tcPr>
            <w:tcW w:type="dxa" w:w="6840"/>
            <w:vAlign w:val="center"/>
            <w:tcMar>
              <w:top w:w="80" w:type="dxa"/>
              <w:start w:w="120" w:type="dxa"/>
              <w:bottom w:w="80" w:type="dxa"/>
              <w:end w:w="120" w:type="dxa"/>
            </w:tcMar>
          </w:tcPr>
          <w:p>
            <w:r>
              <w:t>Start with 5 and 10, then increase toward the full forest.</w:t>
            </w:r>
          </w:p>
        </w:tc>
      </w:tr>
      <w:tr>
        <w:tc>
          <w:tcPr>
            <w:tcW w:type="dxa" w:w="2520"/>
            <w:vAlign w:val="center"/>
            <w:tcMar>
              <w:top w:w="80" w:type="dxa"/>
              <w:start w:w="120" w:type="dxa"/>
              <w:bottom w:w="80" w:type="dxa"/>
              <w:end w:w="120" w:type="dxa"/>
            </w:tcMar>
          </w:tcPr>
          <w:p>
            <w:r>
              <w:t>Budgets</w:t>
            </w:r>
          </w:p>
        </w:tc>
        <w:tc>
          <w:tcPr>
            <w:tcW w:type="dxa" w:w="6840"/>
            <w:vAlign w:val="center"/>
            <w:tcMar>
              <w:top w:w="80" w:type="dxa"/>
              <w:start w:w="120" w:type="dxa"/>
              <w:bottom w:w="80" w:type="dxa"/>
              <w:end w:w="120" w:type="dxa"/>
            </w:tcMar>
          </w:tcPr>
          <w:p>
            <w:r>
              <w:t>Use a grid such as B in {10k, 50k, 100k, 500k}, adjusted to hardware.</w:t>
            </w:r>
          </w:p>
        </w:tc>
      </w:tr>
      <w:tr>
        <w:tc>
          <w:tcPr>
            <w:tcW w:type="dxa" w:w="2520"/>
            <w:vAlign w:val="center"/>
            <w:tcMar>
              <w:top w:w="80" w:type="dxa"/>
              <w:start w:w="120" w:type="dxa"/>
              <w:bottom w:w="80" w:type="dxa"/>
              <w:end w:w="120" w:type="dxa"/>
            </w:tcMar>
          </w:tcPr>
          <w:p>
            <w:r>
              <w:t>Selectors</w:t>
            </w:r>
          </w:p>
        </w:tc>
        <w:tc>
          <w:tcPr>
            <w:tcW w:type="dxa" w:w="6840"/>
            <w:vAlign w:val="center"/>
            <w:tcMar>
              <w:top w:w="80" w:type="dxa"/>
              <w:start w:w="120" w:type="dxa"/>
              <w:bottom w:w="80" w:type="dxa"/>
              <w:end w:w="120" w:type="dxa"/>
            </w:tcMar>
          </w:tcPr>
          <w:p>
            <w:r>
              <w:t>The five strategies listed above.</w:t>
            </w:r>
          </w:p>
        </w:tc>
      </w:tr>
      <w:tr>
        <w:tc>
          <w:tcPr>
            <w:tcW w:type="dxa" w:w="2520"/>
            <w:vAlign w:val="center"/>
            <w:tcMar>
              <w:top w:w="80" w:type="dxa"/>
              <w:start w:w="120" w:type="dxa"/>
              <w:bottom w:w="80" w:type="dxa"/>
              <w:end w:w="120" w:type="dxa"/>
            </w:tcMar>
          </w:tcPr>
          <w:p>
            <w:r>
              <w:t>Metrics</w:t>
            </w:r>
          </w:p>
        </w:tc>
        <w:tc>
          <w:tcPr>
            <w:tcW w:type="dxa" w:w="6840"/>
            <w:vAlign w:val="center"/>
            <w:tcMar>
              <w:top w:w="80" w:type="dxa"/>
              <w:start w:w="120" w:type="dxa"/>
              <w:bottom w:w="80" w:type="dxa"/>
              <w:end w:w="120" w:type="dxa"/>
            </w:tcMar>
          </w:tcPr>
          <w:p>
            <w:r>
              <w:t>Completion, runtime, peak diagram size, frontier leaves, robustness radii.</w:t>
            </w:r>
          </w:p>
        </w:tc>
      </w:tr>
    </w:tbl>
    <w:p/>
    <w:p>
      <w:pPr>
        <w:pStyle w:val="Heading1"/>
      </w:pPr>
      <w:r>
        <w:t>5. Results</w:t>
      </w:r>
    </w:p>
    <w:p>
      <w:r>
        <w:t>This section is intentionally left as a structured template. Fill it after running the experiments.</w:t>
      </w:r>
    </w:p>
    <w:tbl>
      <w:tblPr>
        <w:tblStyle w:val="TableGrid"/>
        <w:tblW w:type="dxa" w:w="936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1440"/>
            <w:shd w:fill="F2F4F7"/>
            <w:vAlign w:val="center"/>
            <w:tcMar>
              <w:top w:w="80" w:type="dxa"/>
              <w:start w:w="120" w:type="dxa"/>
              <w:bottom w:w="80" w:type="dxa"/>
              <w:end w:w="120" w:type="dxa"/>
            </w:tcMar>
          </w:tcPr>
          <w:p>
            <w:r>
              <w:rPr>
                <w:rFonts w:ascii="Calibri" w:hAnsi="Calibri"/>
                <w:b/>
              </w:rPr>
              <w:t>Dataset</w:t>
            </w:r>
          </w:p>
        </w:tc>
        <w:tc>
          <w:tcPr>
            <w:tcW w:type="dxa" w:w="1152"/>
            <w:shd w:fill="F2F4F7"/>
            <w:vAlign w:val="center"/>
            <w:tcMar>
              <w:top w:w="80" w:type="dxa"/>
              <w:start w:w="120" w:type="dxa"/>
              <w:bottom w:w="80" w:type="dxa"/>
              <w:end w:w="120" w:type="dxa"/>
            </w:tcMar>
          </w:tcPr>
          <w:p>
            <w:r>
              <w:rPr>
                <w:rFonts w:ascii="Calibri" w:hAnsi="Calibri"/>
                <w:b/>
              </w:rPr>
              <w:t>Budget</w:t>
            </w:r>
          </w:p>
        </w:tc>
        <w:tc>
          <w:tcPr>
            <w:tcW w:type="dxa" w:w="1656"/>
            <w:shd w:fill="F2F4F7"/>
            <w:vAlign w:val="center"/>
            <w:tcMar>
              <w:top w:w="80" w:type="dxa"/>
              <w:start w:w="120" w:type="dxa"/>
              <w:bottom w:w="80" w:type="dxa"/>
              <w:end w:w="120" w:type="dxa"/>
            </w:tcMar>
          </w:tcPr>
          <w:p>
            <w:r>
              <w:rPr>
                <w:rFonts w:ascii="Calibri" w:hAnsi="Calibri"/>
                <w:b/>
              </w:rPr>
              <w:t>Selector</w:t>
            </w:r>
          </w:p>
        </w:tc>
        <w:tc>
          <w:tcPr>
            <w:tcW w:type="dxa" w:w="1584"/>
            <w:shd w:fill="F2F4F7"/>
            <w:vAlign w:val="center"/>
            <w:tcMar>
              <w:top w:w="80" w:type="dxa"/>
              <w:start w:w="120" w:type="dxa"/>
              <w:bottom w:w="80" w:type="dxa"/>
              <w:end w:w="120" w:type="dxa"/>
            </w:tcMar>
          </w:tcPr>
          <w:p>
            <w:r>
              <w:rPr>
                <w:rFonts w:ascii="Calibri" w:hAnsi="Calibri"/>
                <w:b/>
              </w:rPr>
              <w:t>Trees completed</w:t>
            </w:r>
          </w:p>
        </w:tc>
        <w:tc>
          <w:tcPr>
            <w:tcW w:type="dxa" w:w="1224"/>
            <w:shd w:fill="F2F4F7"/>
            <w:vAlign w:val="center"/>
            <w:tcMar>
              <w:top w:w="80" w:type="dxa"/>
              <w:start w:w="120" w:type="dxa"/>
              <w:bottom w:w="80" w:type="dxa"/>
              <w:end w:w="120" w:type="dxa"/>
            </w:tcMar>
          </w:tcPr>
          <w:p>
            <w:r>
              <w:rPr>
                <w:rFonts w:ascii="Calibri" w:hAnsi="Calibri"/>
                <w:b/>
              </w:rPr>
              <w:t>Peak size</w:t>
            </w:r>
          </w:p>
        </w:tc>
        <w:tc>
          <w:tcPr>
            <w:tcW w:type="dxa" w:w="1008"/>
            <w:shd w:fill="F2F4F7"/>
            <w:vAlign w:val="center"/>
            <w:tcMar>
              <w:top w:w="80" w:type="dxa"/>
              <w:start w:w="120" w:type="dxa"/>
              <w:bottom w:w="80" w:type="dxa"/>
              <w:end w:w="120" w:type="dxa"/>
            </w:tcMar>
          </w:tcPr>
          <w:p>
            <w:r>
              <w:rPr>
                <w:rFonts w:ascii="Calibri" w:hAnsi="Calibri"/>
                <w:b/>
              </w:rPr>
              <w:t>Leaves</w:t>
            </w:r>
          </w:p>
        </w:tc>
        <w:tc>
          <w:tcPr>
            <w:tcW w:type="dxa" w:w="1296"/>
            <w:shd w:fill="F2F4F7"/>
            <w:vAlign w:val="center"/>
            <w:tcMar>
              <w:top w:w="80" w:type="dxa"/>
              <w:start w:w="120" w:type="dxa"/>
              <w:bottom w:w="80" w:type="dxa"/>
              <w:end w:w="120" w:type="dxa"/>
            </w:tcMar>
          </w:tcPr>
          <w:p>
            <w:r>
              <w:rPr>
                <w:rFonts w:ascii="Calibri" w:hAnsi="Calibri"/>
                <w:b/>
              </w:rPr>
              <w:t>Runtime</w:t>
            </w:r>
          </w:p>
        </w:tc>
      </w:tr>
      <w:tr>
        <w:tc>
          <w:tcPr>
            <w:tcW w:type="dxa" w:w="1440"/>
            <w:vAlign w:val="center"/>
            <w:tcMar>
              <w:top w:w="80" w:type="dxa"/>
              <w:start w:w="120" w:type="dxa"/>
              <w:bottom w:w="80" w:type="dxa"/>
              <w:end w:w="120" w:type="dxa"/>
            </w:tcMar>
          </w:tcPr>
          <w:p>
            <w:r>
              <w:t>&lt;name&gt;</w:t>
            </w:r>
          </w:p>
        </w:tc>
        <w:tc>
          <w:tcPr>
            <w:tcW w:type="dxa" w:w="1152"/>
            <w:vAlign w:val="center"/>
            <w:tcMar>
              <w:top w:w="80" w:type="dxa"/>
              <w:start w:w="120" w:type="dxa"/>
              <w:bottom w:w="80" w:type="dxa"/>
              <w:end w:w="120" w:type="dxa"/>
            </w:tcMar>
          </w:tcPr>
          <w:p>
            <w:r>
              <w:t>&lt;B&gt;</w:t>
            </w:r>
          </w:p>
        </w:tc>
        <w:tc>
          <w:tcPr>
            <w:tcW w:type="dxa" w:w="1656"/>
            <w:vAlign w:val="center"/>
            <w:tcMar>
              <w:top w:w="80" w:type="dxa"/>
              <w:start w:w="120" w:type="dxa"/>
              <w:bottom w:w="80" w:type="dxa"/>
              <w:end w:w="120" w:type="dxa"/>
            </w:tcMar>
          </w:tcPr>
          <w:p>
            <w:r>
              <w:t>&lt;selector&gt;</w:t>
            </w:r>
          </w:p>
        </w:tc>
        <w:tc>
          <w:tcPr>
            <w:tcW w:type="dxa" w:w="1584"/>
            <w:vAlign w:val="center"/>
            <w:tcMar>
              <w:top w:w="80" w:type="dxa"/>
              <w:start w:w="120" w:type="dxa"/>
              <w:bottom w:w="80" w:type="dxa"/>
              <w:end w:w="120" w:type="dxa"/>
            </w:tcMar>
          </w:tcPr>
          <w:p>
            <w:r>
              <w:t>&lt;k/full&gt;</w:t>
            </w:r>
          </w:p>
        </w:tc>
        <w:tc>
          <w:tcPr>
            <w:tcW w:type="dxa" w:w="1224"/>
            <w:vAlign w:val="center"/>
            <w:tcMar>
              <w:top w:w="80" w:type="dxa"/>
              <w:start w:w="120" w:type="dxa"/>
              <w:bottom w:w="80" w:type="dxa"/>
              <w:end w:w="120" w:type="dxa"/>
            </w:tcMar>
          </w:tcPr>
          <w:p>
            <w:r>
              <w:t>&lt;nodes&gt;</w:t>
            </w:r>
          </w:p>
        </w:tc>
        <w:tc>
          <w:tcPr>
            <w:tcW w:type="dxa" w:w="1008"/>
            <w:vAlign w:val="center"/>
            <w:tcMar>
              <w:top w:w="80" w:type="dxa"/>
              <w:start w:w="120" w:type="dxa"/>
              <w:bottom w:w="80" w:type="dxa"/>
              <w:end w:w="120" w:type="dxa"/>
            </w:tcMar>
          </w:tcPr>
          <w:p>
            <w:r>
              <w:t>&lt;count&gt;</w:t>
            </w:r>
          </w:p>
        </w:tc>
        <w:tc>
          <w:tcPr>
            <w:tcW w:type="dxa" w:w="1296"/>
            <w:vAlign w:val="center"/>
            <w:tcMar>
              <w:top w:w="80" w:type="dxa"/>
              <w:start w:w="120" w:type="dxa"/>
              <w:bottom w:w="80" w:type="dxa"/>
              <w:end w:w="120" w:type="dxa"/>
            </w:tcMar>
          </w:tcPr>
          <w:p>
            <w:r>
              <w:t>&lt;seconds&gt;</w:t>
            </w:r>
          </w:p>
        </w:tc>
      </w:tr>
      <w:tr>
        <w:tc>
          <w:tcPr>
            <w:tcW w:type="dxa" w:w="1440"/>
            <w:vAlign w:val="center"/>
            <w:tcMar>
              <w:top w:w="80" w:type="dxa"/>
              <w:start w:w="120" w:type="dxa"/>
              <w:bottom w:w="80" w:type="dxa"/>
              <w:end w:w="120" w:type="dxa"/>
            </w:tcMar>
          </w:tcPr>
          <w:p>
            <w:r>
              <w:t>&lt;name&gt;</w:t>
            </w:r>
          </w:p>
        </w:tc>
        <w:tc>
          <w:tcPr>
            <w:tcW w:type="dxa" w:w="1152"/>
            <w:vAlign w:val="center"/>
            <w:tcMar>
              <w:top w:w="80" w:type="dxa"/>
              <w:start w:w="120" w:type="dxa"/>
              <w:bottom w:w="80" w:type="dxa"/>
              <w:end w:w="120" w:type="dxa"/>
            </w:tcMar>
          </w:tcPr>
          <w:p>
            <w:r>
              <w:t>&lt;B&gt;</w:t>
            </w:r>
          </w:p>
        </w:tc>
        <w:tc>
          <w:tcPr>
            <w:tcW w:type="dxa" w:w="1656"/>
            <w:vAlign w:val="center"/>
            <w:tcMar>
              <w:top w:w="80" w:type="dxa"/>
              <w:start w:w="120" w:type="dxa"/>
              <w:bottom w:w="80" w:type="dxa"/>
              <w:end w:w="120" w:type="dxa"/>
            </w:tcMar>
          </w:tcPr>
          <w:p>
            <w:r>
              <w:t>&lt;selector&gt;</w:t>
            </w:r>
          </w:p>
        </w:tc>
        <w:tc>
          <w:tcPr>
            <w:tcW w:type="dxa" w:w="1584"/>
            <w:vAlign w:val="center"/>
            <w:tcMar>
              <w:top w:w="80" w:type="dxa"/>
              <w:start w:w="120" w:type="dxa"/>
              <w:bottom w:w="80" w:type="dxa"/>
              <w:end w:w="120" w:type="dxa"/>
            </w:tcMar>
          </w:tcPr>
          <w:p>
            <w:r>
              <w:t>&lt;k/full&gt;</w:t>
            </w:r>
          </w:p>
        </w:tc>
        <w:tc>
          <w:tcPr>
            <w:tcW w:type="dxa" w:w="1224"/>
            <w:vAlign w:val="center"/>
            <w:tcMar>
              <w:top w:w="80" w:type="dxa"/>
              <w:start w:w="120" w:type="dxa"/>
              <w:bottom w:w="80" w:type="dxa"/>
              <w:end w:w="120" w:type="dxa"/>
            </w:tcMar>
          </w:tcPr>
          <w:p>
            <w:r>
              <w:t>&lt;nodes&gt;</w:t>
            </w:r>
          </w:p>
        </w:tc>
        <w:tc>
          <w:tcPr>
            <w:tcW w:type="dxa" w:w="1008"/>
            <w:vAlign w:val="center"/>
            <w:tcMar>
              <w:top w:w="80" w:type="dxa"/>
              <w:start w:w="120" w:type="dxa"/>
              <w:bottom w:w="80" w:type="dxa"/>
              <w:end w:w="120" w:type="dxa"/>
            </w:tcMar>
          </w:tcPr>
          <w:p>
            <w:r>
              <w:t>&lt;count&gt;</w:t>
            </w:r>
          </w:p>
        </w:tc>
        <w:tc>
          <w:tcPr>
            <w:tcW w:type="dxa" w:w="1296"/>
            <w:vAlign w:val="center"/>
            <w:tcMar>
              <w:top w:w="80" w:type="dxa"/>
              <w:start w:w="120" w:type="dxa"/>
              <w:bottom w:w="80" w:type="dxa"/>
              <w:end w:w="120" w:type="dxa"/>
            </w:tcMar>
          </w:tcPr>
          <w:p>
            <w:r>
              <w:t>&lt;seconds&gt;</w:t>
            </w:r>
          </w:p>
        </w:tc>
      </w:tr>
    </w:tbl>
    <w:p/>
    <w:p>
      <w:pPr>
        <w:pStyle w:val="Heading1"/>
      </w:pPr>
      <w:r>
        <w:t>6. Robustness Analysis</w:t>
      </w:r>
    </w:p>
    <w:p>
      <w:r>
        <w:t>For each held-out test sample, compute the targeted robustness radius toward every rival label and the untargeted radius to the nearest rival decision boundary. Also record which cell-index variables are changed by a shortest path.</w:t>
      </w:r>
    </w:p>
    <w:tbl>
      <w:tblPr>
        <w:tblStyle w:val="TableGrid"/>
        <w:tblW w:type="dxa" w:w="9360"/>
        <w:jc w:val="left"/>
        <w:tblLayout w:type="fixed"/>
        <w:tblLook w:firstColumn="1" w:firstRow="1" w:lastColumn="0" w:lastRow="0" w:noHBand="0" w:noVBand="1" w:val="04A0"/>
      </w:tblPr>
      <w:tblGrid>
        <w:gridCol w:w="1872"/>
        <w:gridCol w:w="1872"/>
        <w:gridCol w:w="1872"/>
        <w:gridCol w:w="1872"/>
        <w:gridCol w:w="1872"/>
      </w:tblGrid>
      <w:tr>
        <w:tc>
          <w:tcPr>
            <w:tcW w:type="dxa" w:w="1296"/>
            <w:shd w:fill="F2F4F7"/>
            <w:vAlign w:val="center"/>
            <w:tcMar>
              <w:top w:w="80" w:type="dxa"/>
              <w:start w:w="120" w:type="dxa"/>
              <w:bottom w:w="80" w:type="dxa"/>
              <w:end w:w="120" w:type="dxa"/>
            </w:tcMar>
          </w:tcPr>
          <w:p>
            <w:r>
              <w:rPr>
                <w:rFonts w:ascii="Calibri" w:hAnsi="Calibri"/>
                <w:b/>
              </w:rPr>
              <w:t>Sample id</w:t>
            </w:r>
          </w:p>
        </w:tc>
        <w:tc>
          <w:tcPr>
            <w:tcW w:type="dxa" w:w="1944"/>
            <w:shd w:fill="F2F4F7"/>
            <w:vAlign w:val="center"/>
            <w:tcMar>
              <w:top w:w="80" w:type="dxa"/>
              <w:start w:w="120" w:type="dxa"/>
              <w:bottom w:w="80" w:type="dxa"/>
              <w:end w:w="120" w:type="dxa"/>
            </w:tcMar>
          </w:tcPr>
          <w:p>
            <w:r>
              <w:rPr>
                <w:rFonts w:ascii="Calibri" w:hAnsi="Calibri"/>
                <w:b/>
              </w:rPr>
              <w:t>True/predicted label</w:t>
            </w:r>
          </w:p>
        </w:tc>
        <w:tc>
          <w:tcPr>
            <w:tcW w:type="dxa" w:w="1584"/>
            <w:shd w:fill="F2F4F7"/>
            <w:vAlign w:val="center"/>
            <w:tcMar>
              <w:top w:w="80" w:type="dxa"/>
              <w:start w:w="120" w:type="dxa"/>
              <w:bottom w:w="80" w:type="dxa"/>
              <w:end w:w="120" w:type="dxa"/>
            </w:tcMar>
          </w:tcPr>
          <w:p>
            <w:r>
              <w:rPr>
                <w:rFonts w:ascii="Calibri" w:hAnsi="Calibri"/>
                <w:b/>
              </w:rPr>
              <w:t>Target label</w:t>
            </w:r>
          </w:p>
        </w:tc>
        <w:tc>
          <w:tcPr>
            <w:tcW w:type="dxa" w:w="1224"/>
            <w:shd w:fill="F2F4F7"/>
            <w:vAlign w:val="center"/>
            <w:tcMar>
              <w:top w:w="80" w:type="dxa"/>
              <w:start w:w="120" w:type="dxa"/>
              <w:bottom w:w="80" w:type="dxa"/>
              <w:end w:w="120" w:type="dxa"/>
            </w:tcMar>
          </w:tcPr>
          <w:p>
            <w:r>
              <w:rPr>
                <w:rFonts w:ascii="Calibri" w:hAnsi="Calibri"/>
                <w:b/>
              </w:rPr>
              <w:t>rob_l(x)</w:t>
            </w:r>
          </w:p>
        </w:tc>
        <w:tc>
          <w:tcPr>
            <w:tcW w:type="dxa" w:w="3312"/>
            <w:shd w:fill="F2F4F7"/>
            <w:vAlign w:val="center"/>
            <w:tcMar>
              <w:top w:w="80" w:type="dxa"/>
              <w:start w:w="120" w:type="dxa"/>
              <w:bottom w:w="80" w:type="dxa"/>
              <w:end w:w="120" w:type="dxa"/>
            </w:tcMar>
          </w:tcPr>
          <w:p>
            <w:r>
              <w:rPr>
                <w:rFonts w:ascii="Calibri" w:hAnsi="Calibri"/>
                <w:b/>
              </w:rPr>
              <w:t>Variables changed</w:t>
            </w:r>
          </w:p>
        </w:tc>
      </w:tr>
      <w:tr>
        <w:tc>
          <w:tcPr>
            <w:tcW w:type="dxa" w:w="1296"/>
            <w:vAlign w:val="center"/>
            <w:tcMar>
              <w:top w:w="80" w:type="dxa"/>
              <w:start w:w="120" w:type="dxa"/>
              <w:bottom w:w="80" w:type="dxa"/>
              <w:end w:w="120" w:type="dxa"/>
            </w:tcMar>
          </w:tcPr>
          <w:p>
            <w:r>
              <w:t>&lt;id&gt;</w:t>
            </w:r>
          </w:p>
        </w:tc>
        <w:tc>
          <w:tcPr>
            <w:tcW w:type="dxa" w:w="1944"/>
            <w:vAlign w:val="center"/>
            <w:tcMar>
              <w:top w:w="80" w:type="dxa"/>
              <w:start w:w="120" w:type="dxa"/>
              <w:bottom w:w="80" w:type="dxa"/>
              <w:end w:w="120" w:type="dxa"/>
            </w:tcMar>
          </w:tcPr>
          <w:p>
            <w:r>
              <w:t>&lt;label&gt;</w:t>
            </w:r>
          </w:p>
        </w:tc>
        <w:tc>
          <w:tcPr>
            <w:tcW w:type="dxa" w:w="1584"/>
            <w:vAlign w:val="center"/>
            <w:tcMar>
              <w:top w:w="80" w:type="dxa"/>
              <w:start w:w="120" w:type="dxa"/>
              <w:bottom w:w="80" w:type="dxa"/>
              <w:end w:w="120" w:type="dxa"/>
            </w:tcMar>
          </w:tcPr>
          <w:p>
            <w:r>
              <w:t>&lt;rival&gt;</w:t>
            </w:r>
          </w:p>
        </w:tc>
        <w:tc>
          <w:tcPr>
            <w:tcW w:type="dxa" w:w="1224"/>
            <w:vAlign w:val="center"/>
            <w:tcMar>
              <w:top w:w="80" w:type="dxa"/>
              <w:start w:w="120" w:type="dxa"/>
              <w:bottom w:w="80" w:type="dxa"/>
              <w:end w:w="120" w:type="dxa"/>
            </w:tcMar>
          </w:tcPr>
          <w:p>
            <w:r>
              <w:t>&lt;distance&gt;</w:t>
            </w:r>
          </w:p>
        </w:tc>
        <w:tc>
          <w:tcPr>
            <w:tcW w:type="dxa" w:w="3312"/>
            <w:vAlign w:val="center"/>
            <w:tcMar>
              <w:top w:w="80" w:type="dxa"/>
              <w:start w:w="120" w:type="dxa"/>
              <w:bottom w:w="80" w:type="dxa"/>
              <w:end w:w="120" w:type="dxa"/>
            </w:tcMar>
          </w:tcPr>
          <w:p>
            <w:r>
              <w:t>&lt;bits/features&gt;</w:t>
            </w:r>
          </w:p>
        </w:tc>
      </w:tr>
      <w:tr>
        <w:tc>
          <w:tcPr>
            <w:tcW w:type="dxa" w:w="1296"/>
            <w:vAlign w:val="center"/>
            <w:tcMar>
              <w:top w:w="80" w:type="dxa"/>
              <w:start w:w="120" w:type="dxa"/>
              <w:bottom w:w="80" w:type="dxa"/>
              <w:end w:w="120" w:type="dxa"/>
            </w:tcMar>
          </w:tcPr>
          <w:p>
            <w:r>
              <w:t>&lt;id&gt;</w:t>
            </w:r>
          </w:p>
        </w:tc>
        <w:tc>
          <w:tcPr>
            <w:tcW w:type="dxa" w:w="1944"/>
            <w:vAlign w:val="center"/>
            <w:tcMar>
              <w:top w:w="80" w:type="dxa"/>
              <w:start w:w="120" w:type="dxa"/>
              <w:bottom w:w="80" w:type="dxa"/>
              <w:end w:w="120" w:type="dxa"/>
            </w:tcMar>
          </w:tcPr>
          <w:p>
            <w:r>
              <w:t>&lt;label&gt;</w:t>
            </w:r>
          </w:p>
        </w:tc>
        <w:tc>
          <w:tcPr>
            <w:tcW w:type="dxa" w:w="1584"/>
            <w:vAlign w:val="center"/>
            <w:tcMar>
              <w:top w:w="80" w:type="dxa"/>
              <w:start w:w="120" w:type="dxa"/>
              <w:bottom w:w="80" w:type="dxa"/>
              <w:end w:w="120" w:type="dxa"/>
            </w:tcMar>
          </w:tcPr>
          <w:p>
            <w:r>
              <w:t>&lt;rival&gt;</w:t>
            </w:r>
          </w:p>
        </w:tc>
        <w:tc>
          <w:tcPr>
            <w:tcW w:type="dxa" w:w="1224"/>
            <w:vAlign w:val="center"/>
            <w:tcMar>
              <w:top w:w="80" w:type="dxa"/>
              <w:start w:w="120" w:type="dxa"/>
              <w:bottom w:w="80" w:type="dxa"/>
              <w:end w:w="120" w:type="dxa"/>
            </w:tcMar>
          </w:tcPr>
          <w:p>
            <w:r>
              <w:t>&lt;distance&gt;</w:t>
            </w:r>
          </w:p>
        </w:tc>
        <w:tc>
          <w:tcPr>
            <w:tcW w:type="dxa" w:w="3312"/>
            <w:vAlign w:val="center"/>
            <w:tcMar>
              <w:top w:w="80" w:type="dxa"/>
              <w:start w:w="120" w:type="dxa"/>
              <w:bottom w:w="80" w:type="dxa"/>
              <w:end w:w="120" w:type="dxa"/>
            </w:tcMar>
          </w:tcPr>
          <w:p>
            <w:r>
              <w:t>&lt;bits/features&gt;</w:t>
            </w:r>
          </w:p>
        </w:tc>
      </w:tr>
    </w:tbl>
    <w:p/>
    <w:p>
      <w:pPr>
        <w:pStyle w:val="Heading1"/>
      </w:pPr>
      <w:r>
        <w:t>7. Discussion</w:t>
      </w:r>
    </w:p>
    <w:p>
      <w:pPr>
        <w:pStyle w:val="ListBullet"/>
        <w:spacing w:after="80"/>
      </w:pPr>
      <w:r>
        <w:t>Compare which selectors complete the most forests under the same budgets.</w:t>
      </w:r>
    </w:p>
    <w:p>
      <w:pPr>
        <w:pStyle w:val="ListBullet"/>
        <w:spacing w:after="80"/>
      </w:pPr>
      <w:r>
        <w:t>Identify whether semantic selectors reduce frontier leaves or runtime compared with structural baselines.</w:t>
      </w:r>
    </w:p>
    <w:p>
      <w:pPr>
        <w:pStyle w:val="ListBullet"/>
        <w:spacing w:after="80"/>
      </w:pPr>
      <w:r>
        <w:t>Report where the construction becomes intractable and the maximum completed prefix length per model.</w:t>
      </w:r>
    </w:p>
    <w:p>
      <w:pPr>
        <w:pStyle w:val="ListBullet"/>
        <w:spacing w:after="80"/>
      </w:pPr>
      <w:r>
        <w:t>Interpret robustness distributions: small nonzero radii indicate fragile samples.</w:t>
      </w:r>
    </w:p>
    <w:p>
      <w:pPr>
        <w:pStyle w:val="Heading1"/>
      </w:pPr>
      <w:r>
        <w:t>8. Conclusion</w:t>
      </w:r>
    </w:p>
    <w:p>
      <w:r>
        <w:t>The expected conclusion should summarize whether the binary cell-index encoding and budgeted frontier decomposition make the random-forest robustness analysis feasible in practice, and which selector strategy gives the best trade-off between completion rate, diagram size, and runtime.</w:t>
      </w:r>
    </w:p>
    <w:p>
      <w:pPr>
        <w:pStyle w:val="Heading1"/>
      </w:pPr>
      <w:r>
        <w:t>Appendix: Implementation Checklist</w:t>
      </w:r>
    </w:p>
    <w:p>
      <w:pPr>
        <w:pStyle w:val="ListBullet"/>
        <w:spacing w:after="80"/>
      </w:pPr>
      <w:r>
        <w:t>Discretization and binary cell encoding implemented.</w:t>
      </w:r>
    </w:p>
    <w:p>
      <w:pPr>
        <w:pStyle w:val="ListBullet"/>
        <w:spacing w:after="80"/>
      </w:pPr>
      <w:r>
        <w:t>Node-test comparator implemented.</w:t>
      </w:r>
    </w:p>
    <w:p>
      <w:pPr>
        <w:pStyle w:val="ListBullet"/>
        <w:spacing w:after="80"/>
      </w:pPr>
      <w:r>
        <w:t>Per-tree label-counter relations implemented.</w:t>
      </w:r>
    </w:p>
    <w:p>
      <w:pPr>
        <w:pStyle w:val="ListBullet"/>
        <w:spacing w:after="80"/>
      </w:pPr>
      <w:r>
        <w:t>OBDD composition implemented.</w:t>
      </w:r>
    </w:p>
    <w:p>
      <w:pPr>
        <w:pStyle w:val="ListBullet"/>
        <w:spacing w:after="80"/>
      </w:pPr>
      <w:r>
        <w:t>Budgeted frontier implemented.</w:t>
      </w:r>
    </w:p>
    <w:p>
      <w:pPr>
        <w:pStyle w:val="ListBullet"/>
        <w:spacing w:after="80"/>
      </w:pPr>
      <w:r>
        <w:t>Five selectors implemented.</w:t>
      </w:r>
    </w:p>
    <w:p>
      <w:pPr>
        <w:pStyle w:val="ListBullet"/>
        <w:spacing w:after="80"/>
      </w:pPr>
      <w:r>
        <w:t>Model count, volume, rankings, and robustness readouts implemented.</w:t>
      </w:r>
    </w:p>
    <w:p>
      <w:pPr>
        <w:pStyle w:val="ListBullet"/>
        <w:spacing w:after="80"/>
      </w:pPr>
      <w:r>
        <w:t>Experiment logs and final plots generated.</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Report Draft: Robustness of a Random-Forest Classifier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