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left"/>
      </w:pPr>
      <w:r>
        <w:rPr>
          <w:rFonts w:ascii="Manrope" w:cs="Manrope" w:eastAsia="Manrope" w:hAnsi="Manrope"/>
          <w:b/>
          <w:bCs/>
          <w:color w:val="1E4D5C"/>
          <w:sz w:val="64"/>
          <w:szCs w:val="64"/>
        </w:rPr>
        <w:t xml:space="preserve">BAHRIACONNECT</w:t>
      </w:r>
    </w:p>
    <w:p>
      <w:pPr>
        <w:spacing w:after="100" w:before="100"/>
      </w:pPr>
      <w:r>
        <w:rPr>
          <w:rFonts w:ascii="Manrope" w:cs="Manrope" w:eastAsia="Manrope" w:hAnsi="Manrope"/>
          <w:b/>
          <w:bCs/>
          <w:color w:val="3F8F6F"/>
          <w:sz w:val="30"/>
          <w:szCs w:val="30"/>
        </w:rPr>
        <w:t xml:space="preserve">BRAND IDENTITY &amp; DESIGN SYSTEM</w:t>
      </w:r>
    </w:p>
    <w:p>
      <w:pPr>
        <w:pBdr>
          <w:top w:val="single" w:color="E8B04B" w:sz="18" w:space="10"/>
        </w:pBdr>
        <w:spacing w:after="1000" w:before="300"/>
      </w:pPr>
      <w:r>
        <w:t xml:space="preserve"/>
      </w:r>
    </w:p>
    <w:p>
      <w:pPr>
        <w:spacing w:after="100"/>
      </w:pPr>
      <w:r>
        <w:rPr>
          <w:rFonts w:ascii="Manrope" w:cs="Manrope" w:eastAsia="Manrope" w:hAnsi="Manrope"/>
          <w:i/>
          <w:iCs/>
          <w:color w:val="3A372F"/>
          <w:sz w:val="26"/>
          <w:szCs w:val="26"/>
        </w:rPr>
        <w:t xml:space="preserve">Verified help, right in your community.</w:t>
      </w:r>
    </w:p>
    <w:p>
      <w:pPr>
        <w:spacing w:after="1800"/>
      </w:pPr>
    </w:p>
    <w:p>
      <w:r>
        <w:rPr>
          <w:rFonts w:ascii="Inter" w:cs="Inter" w:eastAsia="Inter" w:hAnsi="Inter"/>
          <w:color w:val="6B6B63"/>
          <w:sz w:val="20"/>
          <w:szCs w:val="20"/>
        </w:rPr>
        <w:t xml:space="preserve">Enterprise Brand Guidelines · Version 1.0 · August 2026</w:t>
      </w:r>
    </w:p>
    <w:p>
      <w:r>
        <w:rPr>
          <w:rFonts w:ascii="Inter" w:cs="Inter" w:eastAsia="Inter" w:hAnsi="Inter"/>
          <w:color w:val="6B6B63"/>
          <w:sz w:val="20"/>
          <w:szCs w:val="20"/>
        </w:rPr>
        <w:t xml:space="preserve">Prepared for Social Media, Website, and Mobile Application Design Teams</w:t>
      </w:r>
    </w:p>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1. Brand Foundations</w:t>
      </w:r>
    </w:p>
    <w:p>
      <w:pPr>
        <w:pStyle w:val="Heading2"/>
        <w:spacing w:after="150" w:before="300"/>
      </w:pPr>
      <w:r>
        <w:rPr>
          <w:rFonts w:ascii="Manrope" w:cs="Manrope" w:eastAsia="Manrope" w:hAnsi="Manrope"/>
          <w:b/>
          <w:bCs/>
          <w:color w:val="163A45"/>
          <w:sz w:val="26"/>
          <w:szCs w:val="26"/>
        </w:rPr>
        <w:t xml:space="preserve">1.1 Brand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Field</w:t>
            </w:r>
          </w:p>
        </w:tc>
        <w:tc>
          <w:tcPr>
            <w:tcW w:type="dxa" w:w="69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Detail</w:t>
            </w:r>
          </w:p>
        </w:tc>
      </w:tr>
      <w:tr>
        <w:tc>
          <w:tcPr>
            <w:tcW w:type="dxa" w:w="2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Brand Name</w:t>
            </w:r>
          </w:p>
        </w:tc>
        <w:tc>
          <w:tcPr>
            <w:tcW w:type="dxa" w:w="6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BahriaConnect (working title)</w:t>
            </w:r>
          </w:p>
        </w:tc>
      </w:tr>
      <w:tr>
        <w:tc>
          <w:tcPr>
            <w:tcW w:type="dxa" w:w="24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Tagline</w:t>
            </w:r>
          </w:p>
        </w:tc>
        <w:tc>
          <w:tcPr>
            <w:tcW w:type="dxa" w:w="6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“Verified help, right in your community.”</w:t>
            </w:r>
          </w:p>
        </w:tc>
      </w:tr>
      <w:tr>
        <w:tc>
          <w:tcPr>
            <w:tcW w:type="dxa" w:w="2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Category</w:t>
            </w:r>
          </w:p>
        </w:tc>
        <w:tc>
          <w:tcPr>
            <w:tcW w:type="dxa" w:w="6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Community-verified local services marketplace</w:t>
            </w:r>
          </w:p>
        </w:tc>
      </w:tr>
      <w:tr>
        <w:tc>
          <w:tcPr>
            <w:tcW w:type="dxa" w:w="24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Market</w:t>
            </w:r>
          </w:p>
        </w:tc>
        <w:tc>
          <w:tcPr>
            <w:tcW w:type="dxa" w:w="6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Bahria Town, Karachi</w:t>
            </w:r>
          </w:p>
        </w:tc>
      </w:tr>
      <w:tr>
        <w:tc>
          <w:tcPr>
            <w:tcW w:type="dxa" w:w="2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Elevator Pitch</w:t>
            </w:r>
          </w:p>
        </w:tc>
        <w:tc>
          <w:tcPr>
            <w:tcW w:type="dxa" w:w="6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BahriaConnect is a verified local-services marketplace that connects Bahria Town Karachi residents with management-vetted maids, electricians, plumbers, and other home-service providers, so finding trustworthy help takes minutes instead of endless WhatsApp and Facebook searching.</w:t>
            </w:r>
          </w:p>
        </w:tc>
      </w:tr>
    </w:tbl>
    <w:p>
      <w:pPr>
        <w:spacing w:after="200"/>
      </w:pPr>
    </w:p>
    <w:p>
      <w:pPr>
        <w:pStyle w:val="Heading2"/>
        <w:spacing w:after="150" w:before="300"/>
      </w:pPr>
      <w:r>
        <w:rPr>
          <w:rFonts w:ascii="Manrope" w:cs="Manrope" w:eastAsia="Manrope" w:hAnsi="Manrope"/>
          <w:b/>
          <w:bCs/>
          <w:color w:val="163A45"/>
          <w:sz w:val="26"/>
          <w:szCs w:val="26"/>
        </w:rPr>
        <w:t xml:space="preserve">1.2 Brand Story</w:t>
      </w:r>
    </w:p>
    <w:p>
      <w:pPr>
        <w:spacing w:after="140" w:line="300"/>
      </w:pPr>
      <w:r>
        <w:rPr>
          <w:rFonts w:ascii="Inter" w:cs="Inter" w:eastAsia="Inter" w:hAnsi="Inter"/>
          <w:b w:val="false"/>
          <w:bCs w:val="false"/>
          <w:i w:val="false"/>
          <w:iCs w:val="false"/>
          <w:color w:val="3A372F"/>
          <w:sz w:val="21"/>
          <w:szCs w:val="21"/>
        </w:rPr>
        <w:t xml:space="preserve">BahriaConnect was born from a simple, everyday frustration: residents needing a maid or a plumber, and workers needing more clients, but no reliable way for the two to find each other beyond scattered WhatsApp groups and word of mouth. BahriaConnect exists to replace that guesswork with a structured, verified system — one where management stands behind every provider, so trust isn't a gamble, it's built into the platform.</w:t>
      </w:r>
    </w:p>
    <w:p>
      <w:pPr>
        <w:pStyle w:val="Heading2"/>
        <w:spacing w:after="150" w:before="300"/>
      </w:pPr>
      <w:r>
        <w:rPr>
          <w:rFonts w:ascii="Manrope" w:cs="Manrope" w:eastAsia="Manrope" w:hAnsi="Manrope"/>
          <w:b/>
          <w:bCs/>
          <w:color w:val="163A45"/>
          <w:sz w:val="26"/>
          <w:szCs w:val="26"/>
        </w:rPr>
        <w:t xml:space="preserve">1.3 Problem &amp; Solution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6C4B" w:val="clear"/>
            <w:tcMar>
              <w:top w:type="dxa" w:w="100"/>
              <w:left w:type="dxa" w:w="120"/>
              <w:bottom w:type="dxa" w:w="100"/>
              <w:right w:type="dxa" w:w="120"/>
            </w:tcMar>
            <w:vAlign w:val="center"/>
          </w:tcPr>
          <w:p>
            <w:r>
              <w:rPr>
                <w:rFonts w:ascii="Inter" w:cs="Inter" w:eastAsia="Inter" w:hAnsi="Inter"/>
                <w:b/>
                <w:bCs/>
                <w:color w:val="FFFFFF"/>
                <w:sz w:val="20"/>
                <w:szCs w:val="20"/>
              </w:rPr>
              <w:t xml:space="preserve">The Problem</w:t>
            </w:r>
          </w:p>
        </w:tc>
        <w:tc>
          <w:tcPr>
            <w:tcW w:type="dxa" w:w="4675"/>
            <w:shd w:fill="3F8F6F" w:val="clear"/>
            <w:tcMar>
              <w:top w:type="dxa" w:w="100"/>
              <w:left w:type="dxa" w:w="120"/>
              <w:bottom w:type="dxa" w:w="100"/>
              <w:right w:type="dxa" w:w="120"/>
            </w:tcMar>
            <w:vAlign w:val="center"/>
          </w:tcPr>
          <w:p>
            <w:r>
              <w:rPr>
                <w:rFonts w:ascii="Inter" w:cs="Inter" w:eastAsia="Inter" w:hAnsi="Inter"/>
                <w:b/>
                <w:bCs/>
                <w:color w:val="FFFFFF"/>
                <w:sz w:val="20"/>
                <w:szCs w:val="20"/>
              </w:rPr>
              <w:t xml:space="preserve">The Solution</w:t>
            </w:r>
          </w:p>
        </w:tc>
      </w:tr>
      <w:tr>
        <w:tc>
          <w:tcPr>
            <w:tcW w:type="dxa" w:w="4675"/>
            <w:shd w:fill="F5F1E8" w:val="clear"/>
          </w:tcPr>
          <w:p>
            <w:pPr>
              <w:pStyle w:val="ListParagraph"/>
              <w:numPr>
                <w:ilvl w:val="0"/>
                <w:numId w:val="2"/>
              </w:numPr>
              <w:spacing w:after="60"/>
            </w:pPr>
            <w:r>
              <w:rPr>
                <w:rFonts w:ascii="Inter" w:cs="Inter" w:eastAsia="Inter" w:hAnsi="Inter"/>
                <w:color w:val="3A372F"/>
                <w:sz w:val="19"/>
                <w:szCs w:val="19"/>
              </w:rPr>
              <w:t xml:space="preserve">No centralized directory of home-service workers</w:t>
            </w:r>
          </w:p>
          <w:p>
            <w:pPr>
              <w:pStyle w:val="ListParagraph"/>
              <w:numPr>
                <w:ilvl w:val="0"/>
                <w:numId w:val="2"/>
              </w:numPr>
              <w:spacing w:after="60"/>
            </w:pPr>
            <w:r>
              <w:rPr>
                <w:rFonts w:ascii="Inter" w:cs="Inter" w:eastAsia="Inter" w:hAnsi="Inter"/>
                <w:color w:val="3A372F"/>
                <w:sz w:val="19"/>
                <w:szCs w:val="19"/>
              </w:rPr>
              <w:t xml:space="preserve">Uncertainty about a worker's reliability or experience</w:t>
            </w:r>
          </w:p>
          <w:p>
            <w:pPr>
              <w:pStyle w:val="ListParagraph"/>
              <w:numPr>
                <w:ilvl w:val="0"/>
                <w:numId w:val="2"/>
              </w:numPr>
              <w:spacing w:after="60"/>
            </w:pPr>
            <w:r>
              <w:rPr>
                <w:rFonts w:ascii="Inter" w:cs="Inter" w:eastAsia="Inter" w:hAnsi="Inter"/>
                <w:color w:val="3A372F"/>
                <w:sz w:val="19"/>
                <w:szCs w:val="19"/>
              </w:rPr>
              <w:t xml:space="preserve">No accountability once a job is done</w:t>
            </w:r>
          </w:p>
          <w:p>
            <w:pPr>
              <w:pStyle w:val="ListParagraph"/>
              <w:numPr>
                <w:ilvl w:val="0"/>
                <w:numId w:val="2"/>
              </w:numPr>
              <w:spacing w:after="60"/>
            </w:pPr>
            <w:r>
              <w:rPr>
                <w:rFonts w:ascii="Inter" w:cs="Inter" w:eastAsia="Inter" w:hAnsi="Inter"/>
                <w:color w:val="3A372F"/>
                <w:sz w:val="19"/>
                <w:szCs w:val="19"/>
              </w:rPr>
              <w:t xml:space="preserve">Workers struggle to find consistent clients</w:t>
            </w:r>
          </w:p>
        </w:tc>
        <w:tc>
          <w:tcPr>
            <w:tcW w:type="dxa" w:w="4675"/>
            <w:shd w:fill="F5F1E8" w:val="clear"/>
          </w:tcPr>
          <w:p>
            <w:pPr>
              <w:spacing w:after="60"/>
            </w:pPr>
            <w:r>
              <w:rPr>
                <w:rFonts w:ascii="Inter" w:cs="Inter" w:eastAsia="Inter" w:hAnsi="Inter"/>
                <w:color w:val="3A372F"/>
                <w:sz w:val="19"/>
                <w:szCs w:val="19"/>
              </w:rPr>
              <w:t xml:space="preserve">A community-verified marketplace where management registers and approves every provider, residents browse standardized profiles with ratings and availability, and every request is tracked from submission to completion.</w:t>
            </w:r>
          </w:p>
        </w:tc>
      </w:tr>
    </w:tbl>
    <w:p>
      <w:pPr>
        <w:spacing w:after="200"/>
      </w:pPr>
    </w:p>
    <w:p>
      <w:pPr>
        <w:pStyle w:val="Heading2"/>
        <w:spacing w:after="150" w:before="300"/>
      </w:pPr>
      <w:r>
        <w:rPr>
          <w:rFonts w:ascii="Manrope" w:cs="Manrope" w:eastAsia="Manrope" w:hAnsi="Manrope"/>
          <w:b/>
          <w:bCs/>
          <w:color w:val="163A45"/>
          <w:sz w:val="26"/>
          <w:szCs w:val="26"/>
        </w:rPr>
        <w:t xml:space="preserve">1.4 Target Audience</w:t>
      </w:r>
    </w:p>
    <w:p>
      <w:pPr>
        <w:spacing w:after="140" w:line="300"/>
      </w:pPr>
      <w:r>
        <w:rPr>
          <w:rFonts w:ascii="Inter" w:cs="Inter" w:eastAsia="Inter" w:hAnsi="Inter"/>
          <w:b w:val="false"/>
          <w:bCs w:val="false"/>
          <w:i w:val="false"/>
          <w:iCs w:val="false"/>
          <w:color w:val="3A372F"/>
          <w:sz w:val="21"/>
          <w:szCs w:val="21"/>
        </w:rPr>
        <w:t xml:space="preserve">Primary: Bahria Town Karachi residents who regularly need household or maintenance help — homeowners and families balancing busy schedules, who currently rely on fragmented Facebook and WhatsApp groups and want a faster, safer way to find someone they can actually trust in their home.</w:t>
      </w:r>
    </w:p>
    <w:p>
      <w:pPr>
        <w:spacing w:after="140" w:line="300"/>
      </w:pPr>
      <w:r>
        <w:rPr>
          <w:rFonts w:ascii="Inter" w:cs="Inter" w:eastAsia="Inter" w:hAnsi="Inter"/>
          <w:b w:val="false"/>
          <w:bCs w:val="false"/>
          <w:i w:val="false"/>
          <w:iCs w:val="false"/>
          <w:color w:val="3A372F"/>
          <w:sz w:val="21"/>
          <w:szCs w:val="21"/>
        </w:rPr>
        <w:t xml:space="preserve">Secondary: Community management staff overseeing provider verification and oversight.</w:t>
      </w:r>
    </w:p>
    <w:p>
      <w:pPr>
        <w:pStyle w:val="Heading2"/>
        <w:spacing w:after="150" w:before="300"/>
      </w:pPr>
      <w:r>
        <w:rPr>
          <w:rFonts w:ascii="Manrope" w:cs="Manrope" w:eastAsia="Manrope" w:hAnsi="Manrope"/>
          <w:b/>
          <w:bCs/>
          <w:color w:val="163A45"/>
          <w:sz w:val="26"/>
          <w:szCs w:val="26"/>
        </w:rPr>
        <w:t xml:space="preserve">1.5 Brand Personality &amp; Archetype</w:t>
      </w:r>
    </w:p>
    <w:p>
      <w:pPr>
        <w:spacing w:after="140" w:line="300"/>
      </w:pPr>
      <w:r>
        <w:rPr>
          <w:rFonts w:ascii="Inter" w:cs="Inter" w:eastAsia="Inter" w:hAnsi="Inter"/>
          <w:b/>
          <w:bCs/>
          <w:i w:val="false"/>
          <w:iCs w:val="false"/>
          <w:color w:val="3A372F"/>
          <w:sz w:val="21"/>
          <w:szCs w:val="21"/>
        </w:rPr>
        <w:t xml:space="preserve">Primary Archetype: The Caregiver, blended with The Sage.</w:t>
      </w:r>
    </w:p>
    <w:p>
      <w:pPr>
        <w:pStyle w:val="ListParagraph"/>
        <w:numPr>
          <w:ilvl w:val="0"/>
          <w:numId w:val="2"/>
        </w:numPr>
        <w:spacing w:after="80"/>
      </w:pPr>
      <w:r>
        <w:rPr>
          <w:rFonts w:ascii="Inter" w:cs="Inter" w:eastAsia="Inter" w:hAnsi="Inter"/>
          <w:color w:val="3A372F"/>
          <w:sz w:val="21"/>
          <w:szCs w:val="21"/>
        </w:rPr>
        <w:t xml:space="preserve">Caregiver — protective, reassuring, community-minded; exists to look after residents' safety and peace of mind.</w:t>
      </w:r>
    </w:p>
    <w:p>
      <w:pPr>
        <w:pStyle w:val="ListParagraph"/>
        <w:numPr>
          <w:ilvl w:val="0"/>
          <w:numId w:val="2"/>
        </w:numPr>
        <w:spacing w:after="80"/>
      </w:pPr>
      <w:r>
        <w:rPr>
          <w:rFonts w:ascii="Inter" w:cs="Inter" w:eastAsia="Inter" w:hAnsi="Inter"/>
          <w:color w:val="3A372F"/>
          <w:sz w:val="21"/>
          <w:szCs w:val="21"/>
        </w:rPr>
        <w:t xml:space="preserve">Sage (secondary) — structured, verification-driven, evidence-based; trust is earned through process, not promises.</w:t>
      </w:r>
    </w:p>
    <w:p>
      <w:pPr>
        <w:spacing w:after="140" w:line="300"/>
      </w:pPr>
      <w:r>
        <w:rPr>
          <w:rFonts w:ascii="Inter" w:cs="Inter" w:eastAsia="Inter" w:hAnsi="Inter"/>
          <w:b w:val="false"/>
          <w:bCs w:val="false"/>
          <w:i w:val="false"/>
          <w:iCs w:val="false"/>
          <w:color w:val="3A372F"/>
          <w:sz w:val="21"/>
          <w:szCs w:val="21"/>
        </w:rPr>
        <w:t xml:space="preserve">Personality traits: Trustworthy, Structured, Warm, Local, Reliable, Calm-under-pressure, Precise.</w:t>
      </w:r>
    </w:p>
    <w:p>
      <w:pPr>
        <w:pStyle w:val="Heading2"/>
        <w:spacing w:after="150" w:before="300"/>
      </w:pPr>
      <w:r>
        <w:rPr>
          <w:rFonts w:ascii="Manrope" w:cs="Manrope" w:eastAsia="Manrope" w:hAnsi="Manrope"/>
          <w:b/>
          <w:bCs/>
          <w:color w:val="163A45"/>
          <w:sz w:val="26"/>
          <w:szCs w:val="26"/>
        </w:rPr>
        <w:t xml:space="preserve">1.6 Brand Core Narrative</w:t>
      </w:r>
    </w:p>
    <w:p>
      <w:pPr>
        <w:spacing w:after="140" w:line="300"/>
      </w:pPr>
      <w:r>
        <w:rPr>
          <w:rFonts w:ascii="Inter" w:cs="Inter" w:eastAsia="Inter" w:hAnsi="Inter"/>
          <w:b w:val="false"/>
          <w:bCs w:val="false"/>
          <w:i/>
          <w:iCs/>
          <w:color w:val="3A372F"/>
          <w:sz w:val="21"/>
          <w:szCs w:val="21"/>
        </w:rPr>
        <w:t xml:space="preserve">Peace of mind. Every interaction should leave the resident feeling: “I know exactly who is coming into my home, and someone is accountable if anything goes wrong.”</w:t>
      </w:r>
    </w:p>
    <w:p>
      <w:pPr>
        <w:pStyle w:val="Heading2"/>
        <w:spacing w:after="150" w:before="300"/>
      </w:pPr>
      <w:r>
        <w:rPr>
          <w:rFonts w:ascii="Manrope" w:cs="Manrope" w:eastAsia="Manrope" w:hAnsi="Manrope"/>
          <w:b/>
          <w:bCs/>
          <w:color w:val="163A45"/>
          <w:sz w:val="26"/>
          <w:szCs w:val="26"/>
        </w:rPr>
        <w:t xml:space="preserve">1.7 Brand Voice</w:t>
      </w:r>
    </w:p>
    <w:p>
      <w:pPr>
        <w:spacing w:after="140" w:line="300"/>
      </w:pPr>
      <w:r>
        <w:rPr>
          <w:rFonts w:ascii="Inter" w:cs="Inter" w:eastAsia="Inter" w:hAnsi="Inter"/>
          <w:b w:val="false"/>
          <w:bCs w:val="false"/>
          <w:i w:val="false"/>
          <w:iCs w:val="false"/>
          <w:color w:val="3A372F"/>
          <w:sz w:val="21"/>
          <w:szCs w:val="21"/>
        </w:rPr>
        <w:t xml:space="preserve">Trustworthy, clear, reassuring — speaks like a dependable neighbor who's done the vetting for you.</w:t>
      </w:r>
    </w:p>
    <w:p>
      <w:pPr>
        <w:pStyle w:val="Heading2"/>
        <w:spacing w:after="150" w:before="300"/>
      </w:pPr>
      <w:r>
        <w:rPr>
          <w:rFonts w:ascii="Manrope" w:cs="Manrope" w:eastAsia="Manrope" w:hAnsi="Manrope"/>
          <w:b/>
          <w:bCs/>
          <w:color w:val="163A45"/>
          <w:sz w:val="26"/>
          <w:szCs w:val="26"/>
        </w:rPr>
        <w:t xml:space="preserve">1.8 Brand Tone by Context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Context</w:t>
            </w:r>
          </w:p>
        </w:tc>
        <w:tc>
          <w:tcPr>
            <w:tcW w:type="dxa" w:w="65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Tone</w:t>
            </w:r>
          </w:p>
        </w:tc>
      </w:tr>
      <w:tr>
        <w:tc>
          <w:tcPr>
            <w:tcW w:type="dxa" w:w="28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In-app, task screens</w:t>
            </w:r>
          </w:p>
        </w:tc>
        <w:tc>
          <w:tcPr>
            <w:tcW w:type="dxa" w:w="65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Helpful and direct; fast, task-focused, no fluff.</w:t>
            </w:r>
          </w:p>
        </w:tc>
      </w:tr>
      <w:tr>
        <w:tc>
          <w:tcPr>
            <w:tcW w:type="dxa" w:w="28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Trust &amp; verification messaging</w:t>
            </w:r>
          </w:p>
        </w:tc>
        <w:tc>
          <w:tcPr>
            <w:tcW w:type="dxa" w:w="65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Calm and reassuring; slow down, explain, show proof.</w:t>
            </w:r>
          </w:p>
        </w:tc>
      </w:tr>
      <w:tr>
        <w:tc>
          <w:tcPr>
            <w:tcW w:type="dxa" w:w="28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Management-facing screens</w:t>
            </w:r>
          </w:p>
        </w:tc>
        <w:tc>
          <w:tcPr>
            <w:tcW w:type="dxa" w:w="65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Professional and precise; data-forward, no slang.</w:t>
            </w:r>
          </w:p>
        </w:tc>
      </w:tr>
      <w:tr>
        <w:tc>
          <w:tcPr>
            <w:tcW w:type="dxa" w:w="28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Marketing &amp; social</w:t>
            </w:r>
          </w:p>
        </w:tc>
        <w:tc>
          <w:tcPr>
            <w:tcW w:type="dxa" w:w="65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Warm, neighborly, confident — never salesy or hyped.</w:t>
            </w:r>
          </w:p>
        </w:tc>
      </w:tr>
      <w:tr>
        <w:tc>
          <w:tcPr>
            <w:tcW w:type="dxa" w:w="28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Support &amp; error states</w:t>
            </w:r>
          </w:p>
        </w:tc>
        <w:tc>
          <w:tcPr>
            <w:tcW w:type="dxa" w:w="65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Empathetic, solution-first, never blaming the user.</w:t>
            </w:r>
          </w:p>
        </w:tc>
      </w:tr>
    </w:tbl>
    <w:p>
      <w:pPr>
        <w:pStyle w:val="Heading2"/>
        <w:spacing w:after="150" w:before="300"/>
      </w:pPr>
      <w:r>
        <w:rPr>
          <w:rFonts w:ascii="Manrope" w:cs="Manrope" w:eastAsia="Manrope" w:hAnsi="Manrope"/>
          <w:b/>
          <w:bCs/>
          <w:color w:val="163A45"/>
          <w:sz w:val="26"/>
          <w:szCs w:val="26"/>
        </w:rPr>
        <w:t xml:space="preserve">1.9 Core Brand Keywords</w:t>
      </w:r>
    </w:p>
    <w:p>
      <w:pPr>
        <w:spacing w:after="140" w:line="300"/>
      </w:pPr>
      <w:r>
        <w:rPr>
          <w:rFonts w:ascii="Inter" w:cs="Inter" w:eastAsia="Inter" w:hAnsi="Inter"/>
          <w:b w:val="false"/>
          <w:bCs w:val="false"/>
          <w:i w:val="false"/>
          <w:iCs w:val="false"/>
          <w:color w:val="3A372F"/>
          <w:sz w:val="21"/>
          <w:szCs w:val="21"/>
        </w:rPr>
        <w:t xml:space="preserve">Verified · Trusted · Local · Structured · Reliable</w:t>
      </w:r>
    </w:p>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2. Copywriting Guidelines</w:t>
      </w:r>
    </w:p>
    <w:p>
      <w:pPr>
        <w:pStyle w:val="Heading2"/>
        <w:spacing w:after="150" w:before="300"/>
      </w:pPr>
      <w:r>
        <w:rPr>
          <w:rFonts w:ascii="Manrope" w:cs="Manrope" w:eastAsia="Manrope" w:hAnsi="Manrope"/>
          <w:b/>
          <w:bCs/>
          <w:color w:val="163A45"/>
          <w:sz w:val="26"/>
          <w:szCs w:val="26"/>
        </w:rPr>
        <w:t xml:space="preserve">2.1 Writing Principles</w:t>
      </w:r>
    </w:p>
    <w:p>
      <w:pPr>
        <w:pStyle w:val="ListParagraph"/>
        <w:numPr>
          <w:ilvl w:val="0"/>
          <w:numId w:val="2"/>
        </w:numPr>
        <w:spacing w:after="80"/>
      </w:pPr>
      <w:r>
        <w:rPr>
          <w:rFonts w:ascii="Inter" w:cs="Inter" w:eastAsia="Inter" w:hAnsi="Inter"/>
          <w:color w:val="3A372F"/>
          <w:sz w:val="21"/>
          <w:szCs w:val="21"/>
        </w:rPr>
        <w:t xml:space="preserve">Lead with the resident's outcome, not the feature. Say “Find a verified plumber in minutes,” not “Our platform uses a verification algorithm.”</w:t>
      </w:r>
    </w:p>
    <w:p>
      <w:pPr>
        <w:pStyle w:val="ListParagraph"/>
        <w:numPr>
          <w:ilvl w:val="0"/>
          <w:numId w:val="2"/>
        </w:numPr>
        <w:spacing w:after="80"/>
      </w:pPr>
      <w:r>
        <w:rPr>
          <w:rFonts w:ascii="Inter" w:cs="Inter" w:eastAsia="Inter" w:hAnsi="Inter"/>
          <w:color w:val="3A372F"/>
          <w:sz w:val="21"/>
          <w:szCs w:val="21"/>
        </w:rPr>
        <w:t xml:space="preserve">Prove trust, don't just claim it. Reference verification, ratings, and accountability specifics instead of adjectives alone.</w:t>
      </w:r>
    </w:p>
    <w:p>
      <w:pPr>
        <w:pStyle w:val="ListParagraph"/>
        <w:numPr>
          <w:ilvl w:val="0"/>
          <w:numId w:val="2"/>
        </w:numPr>
        <w:spacing w:after="80"/>
      </w:pPr>
      <w:r>
        <w:rPr>
          <w:rFonts w:ascii="Inter" w:cs="Inter" w:eastAsia="Inter" w:hAnsi="Inter"/>
          <w:color w:val="3A372F"/>
          <w:sz w:val="21"/>
          <w:szCs w:val="21"/>
        </w:rPr>
        <w:t xml:space="preserve">Short sentences. One idea per sentence in-app; slightly longer, warmer sentences are acceptable in brand storytelling.</w:t>
      </w:r>
    </w:p>
    <w:p>
      <w:pPr>
        <w:pStyle w:val="ListParagraph"/>
        <w:numPr>
          <w:ilvl w:val="0"/>
          <w:numId w:val="2"/>
        </w:numPr>
        <w:spacing w:after="80"/>
      </w:pPr>
      <w:r>
        <w:rPr>
          <w:rFonts w:ascii="Inter" w:cs="Inter" w:eastAsia="Inter" w:hAnsi="Inter"/>
          <w:color w:val="3A372F"/>
          <w:sz w:val="21"/>
          <w:szCs w:val="21"/>
        </w:rPr>
        <w:t xml:space="preserve">Always name who is accountable (management, the platform) when discussing safety.</w:t>
      </w:r>
    </w:p>
    <w:p>
      <w:pPr>
        <w:pStyle w:val="ListParagraph"/>
        <w:numPr>
          <w:ilvl w:val="0"/>
          <w:numId w:val="2"/>
        </w:numPr>
        <w:spacing w:after="80"/>
      </w:pPr>
      <w:r>
        <w:rPr>
          <w:rFonts w:ascii="Inter" w:cs="Inter" w:eastAsia="Inter" w:hAnsi="Inter"/>
          <w:color w:val="3A372F"/>
          <w:sz w:val="21"/>
          <w:szCs w:val="21"/>
        </w:rPr>
        <w:t xml:space="preserve">Use active voice: “Management verifies every provider,” not “Every provider is verified.”</w:t>
      </w:r>
    </w:p>
    <w:p>
      <w:pPr>
        <w:pStyle w:val="Heading2"/>
        <w:spacing w:after="150" w:before="300"/>
      </w:pPr>
      <w:r>
        <w:rPr>
          <w:rFonts w:ascii="Manrope" w:cs="Manrope" w:eastAsia="Manrope" w:hAnsi="Manrope"/>
          <w:b/>
          <w:bCs/>
          <w:color w:val="163A45"/>
          <w:sz w:val="26"/>
          <w:szCs w:val="26"/>
        </w:rPr>
        <w:t xml:space="preserve">2.2 Preferred Vocabulary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Say this</w:t>
            </w:r>
          </w:p>
        </w:tc>
        <w:tc>
          <w:tcPr>
            <w:tcW w:type="dxa" w:w="59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Instead of this</w:t>
            </w:r>
          </w:p>
        </w:tc>
      </w:tr>
      <w:tr>
        <w:tc>
          <w:tcPr>
            <w:tcW w:type="dxa" w:w="3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Verified provider</w:t>
            </w:r>
          </w:p>
        </w:tc>
        <w:tc>
          <w:tcPr>
            <w:tcW w:type="dxa" w:w="5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Worker / vendor / random guy</w:t>
            </w:r>
          </w:p>
        </w:tc>
      </w:tr>
      <w:tr>
        <w:tc>
          <w:tcPr>
            <w:tcW w:type="dxa" w:w="34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Management-vetted</w:t>
            </w:r>
          </w:p>
        </w:tc>
        <w:tc>
          <w:tcPr>
            <w:tcW w:type="dxa" w:w="5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Approved (too vague)</w:t>
            </w:r>
          </w:p>
        </w:tc>
      </w:tr>
      <w:tr>
        <w:tc>
          <w:tcPr>
            <w:tcW w:type="dxa" w:w="3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Request service</w:t>
            </w:r>
          </w:p>
        </w:tc>
        <w:tc>
          <w:tcPr>
            <w:tcW w:type="dxa" w:w="5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Book / order (too e-commerce)</w:t>
            </w:r>
          </w:p>
        </w:tc>
      </w:tr>
      <w:tr>
        <w:tc>
          <w:tcPr>
            <w:tcW w:type="dxa" w:w="34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Resident</w:t>
            </w:r>
          </w:p>
        </w:tc>
        <w:tc>
          <w:tcPr>
            <w:tcW w:type="dxa" w:w="5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Customer / user (in community-facing copy)</w:t>
            </w:r>
          </w:p>
        </w:tc>
      </w:tr>
      <w:tr>
        <w:tc>
          <w:tcPr>
            <w:tcW w:type="dxa" w:w="3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Peace of mind</w:t>
            </w:r>
          </w:p>
        </w:tc>
        <w:tc>
          <w:tcPr>
            <w:tcW w:type="dxa" w:w="5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Convenience (undersells the trust promise)</w:t>
            </w:r>
          </w:p>
        </w:tc>
      </w:tr>
      <w:tr>
        <w:tc>
          <w:tcPr>
            <w:tcW w:type="dxa" w:w="34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Track your request</w:t>
            </w:r>
          </w:p>
        </w:tc>
        <w:tc>
          <w:tcPr>
            <w:tcW w:type="dxa" w:w="5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Check status</w:t>
            </w:r>
          </w:p>
        </w:tc>
      </w:tr>
      <w:tr>
        <w:tc>
          <w:tcPr>
            <w:tcW w:type="dxa" w:w="3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Community</w:t>
            </w:r>
          </w:p>
        </w:tc>
        <w:tc>
          <w:tcPr>
            <w:tcW w:type="dxa" w:w="5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Platform / marketplace (in resident-facing copy)</w:t>
            </w:r>
          </w:p>
        </w:tc>
      </w:tr>
    </w:tbl>
    <w:p>
      <w:pPr>
        <w:pStyle w:val="Heading2"/>
        <w:spacing w:after="150" w:before="300"/>
      </w:pPr>
      <w:r>
        <w:rPr>
          <w:rFonts w:ascii="Manrope" w:cs="Manrope" w:eastAsia="Manrope" w:hAnsi="Manrope"/>
          <w:b/>
          <w:bCs/>
          <w:color w:val="163A45"/>
          <w:sz w:val="26"/>
          <w:szCs w:val="26"/>
        </w:rPr>
        <w:t xml:space="preserve">2.3 Words &amp; Phrases to Avoid</w:t>
      </w:r>
    </w:p>
    <w:p>
      <w:pPr>
        <w:pStyle w:val="ListParagraph"/>
        <w:numPr>
          <w:ilvl w:val="0"/>
          <w:numId w:val="2"/>
        </w:numPr>
        <w:spacing w:after="80"/>
      </w:pPr>
      <w:r>
        <w:rPr>
          <w:rFonts w:ascii="Inter" w:cs="Inter" w:eastAsia="Inter" w:hAnsi="Inter"/>
          <w:color w:val="3A372F"/>
          <w:sz w:val="21"/>
          <w:szCs w:val="21"/>
        </w:rPr>
        <w:t xml:space="preserve">“Cheap,” “cheapest,” “budget” — undermines quality/trust positioning; use “fair, transparent pricing” instead.</w:t>
      </w:r>
    </w:p>
    <w:p>
      <w:pPr>
        <w:pStyle w:val="ListParagraph"/>
        <w:numPr>
          <w:ilvl w:val="0"/>
          <w:numId w:val="2"/>
        </w:numPr>
        <w:spacing w:after="80"/>
      </w:pPr>
      <w:r>
        <w:rPr>
          <w:rFonts w:ascii="Inter" w:cs="Inter" w:eastAsia="Inter" w:hAnsi="Inter"/>
          <w:color w:val="3A372F"/>
          <w:sz w:val="21"/>
          <w:szCs w:val="21"/>
        </w:rPr>
        <w:t xml:space="preserve">“Guaranteed 100%” or absolute claims about outcomes — use “backed by management” or “accountable” instead.</w:t>
      </w:r>
    </w:p>
    <w:p>
      <w:pPr>
        <w:pStyle w:val="ListParagraph"/>
        <w:numPr>
          <w:ilvl w:val="0"/>
          <w:numId w:val="2"/>
        </w:numPr>
        <w:spacing w:after="80"/>
      </w:pPr>
      <w:r>
        <w:rPr>
          <w:rFonts w:ascii="Inter" w:cs="Inter" w:eastAsia="Inter" w:hAnsi="Inter"/>
          <w:color w:val="3A372F"/>
          <w:sz w:val="21"/>
          <w:szCs w:val="21"/>
        </w:rPr>
        <w:t xml:space="preserve">Corporate jargon: “leverage,” “synergy,” “ecosystem,” “end-to-end solution.”</w:t>
      </w:r>
    </w:p>
    <w:p>
      <w:pPr>
        <w:pStyle w:val="ListParagraph"/>
        <w:numPr>
          <w:ilvl w:val="0"/>
          <w:numId w:val="2"/>
        </w:numPr>
        <w:spacing w:after="80"/>
      </w:pPr>
      <w:r>
        <w:rPr>
          <w:rFonts w:ascii="Inter" w:cs="Inter" w:eastAsia="Inter" w:hAnsi="Inter"/>
          <w:color w:val="3A372F"/>
          <w:sz w:val="21"/>
          <w:szCs w:val="21"/>
        </w:rPr>
        <w:t xml:space="preserve">Overly casual internet slang that undercuts the calm, reassuring tone (e.g., “nooo worries,” excessive exclamation points).</w:t>
      </w:r>
    </w:p>
    <w:p>
      <w:pPr>
        <w:pStyle w:val="ListParagraph"/>
        <w:numPr>
          <w:ilvl w:val="0"/>
          <w:numId w:val="2"/>
        </w:numPr>
        <w:spacing w:after="80"/>
      </w:pPr>
      <w:r>
        <w:rPr>
          <w:rFonts w:ascii="Inter" w:cs="Inter" w:eastAsia="Inter" w:hAnsi="Inter"/>
          <w:color w:val="3A372F"/>
          <w:sz w:val="21"/>
          <w:szCs w:val="21"/>
        </w:rPr>
        <w:t xml:space="preserve">Fear-based urgency (“Don't risk it!”) — BahriaConnect reassures, it doesn't alarm.</w:t>
      </w:r>
    </w:p>
    <w:p>
      <w:pPr>
        <w:pStyle w:val="Heading2"/>
        <w:spacing w:after="150" w:before="300"/>
      </w:pPr>
      <w:r>
        <w:rPr>
          <w:rFonts w:ascii="Manrope" w:cs="Manrope" w:eastAsia="Manrope" w:hAnsi="Manrope"/>
          <w:b/>
          <w:bCs/>
          <w:color w:val="163A45"/>
          <w:sz w:val="26"/>
          <w:szCs w:val="26"/>
        </w:rPr>
        <w:t xml:space="preserve">2.4 Messaging 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Use case</w:t>
            </w:r>
          </w:p>
        </w:tc>
        <w:tc>
          <w:tcPr>
            <w:tcW w:type="dxa" w:w="67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Example copy</w:t>
            </w:r>
          </w:p>
        </w:tc>
      </w:tr>
      <w:tr>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Homepage hero</w:t>
            </w:r>
          </w:p>
        </w:tc>
        <w:tc>
          <w:tcPr>
            <w:tcW w:type="dxa" w:w="6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Verified help, right in your community.</w:t>
            </w:r>
          </w:p>
        </w:tc>
      </w:tr>
      <w:tr>
        <w:tc>
          <w:tcPr>
            <w:tcW w:type="dxa" w:w="26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Provider card badge</w:t>
            </w:r>
          </w:p>
        </w:tc>
        <w:tc>
          <w:tcPr>
            <w:tcW w:type="dxa" w:w="67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 Verified by Bahria Town Management</w:t>
            </w:r>
          </w:p>
        </w:tc>
      </w:tr>
      <w:tr>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Empty state (no providers yet)</w:t>
            </w:r>
          </w:p>
        </w:tc>
        <w:tc>
          <w:tcPr>
            <w:tcW w:type="dxa" w:w="6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We're still vetting providers in your precinct — check back soon, or request early access.</w:t>
            </w:r>
          </w:p>
        </w:tc>
      </w:tr>
      <w:tr>
        <w:tc>
          <w:tcPr>
            <w:tcW w:type="dxa" w:w="26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Push notification</w:t>
            </w:r>
          </w:p>
        </w:tc>
        <w:tc>
          <w:tcPr>
            <w:tcW w:type="dxa" w:w="67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Ahmed Khan (Verified Plumber) has accepted your request — arriving 4:00 PM.</w:t>
            </w:r>
          </w:p>
        </w:tc>
      </w:tr>
      <w:tr>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Trust page intro</w:t>
            </w:r>
          </w:p>
        </w:tc>
        <w:tc>
          <w:tcPr>
            <w:tcW w:type="dxa" w:w="6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Every provider on BahriaConnect is registered, background-checked, and approved by Bahria Town management before they can accept a single request.</w:t>
            </w:r>
          </w:p>
        </w:tc>
      </w:tr>
      <w:tr>
        <w:tc>
          <w:tcPr>
            <w:tcW w:type="dxa" w:w="26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Social caption (provider spotlight)</w:t>
            </w:r>
          </w:p>
        </w:tc>
        <w:tc>
          <w:tcPr>
            <w:tcW w:type="dxa" w:w="67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Meet Ahmed — 7 years experienced, management-verified, and rated 4.8 by your neighbors. ✓ Verified</w:t>
            </w:r>
          </w:p>
        </w:tc>
      </w:tr>
    </w:tbl>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3. Logo System</w:t>
      </w:r>
    </w:p>
    <w:p>
      <w:pPr>
        <w:pStyle w:val="Heading2"/>
        <w:spacing w:after="150" w:before="300"/>
      </w:pPr>
      <w:r>
        <w:rPr>
          <w:rFonts w:ascii="Manrope" w:cs="Manrope" w:eastAsia="Manrope" w:hAnsi="Manrope"/>
          <w:b/>
          <w:bCs/>
          <w:color w:val="163A45"/>
          <w:sz w:val="26"/>
          <w:szCs w:val="26"/>
        </w:rPr>
        <w:t xml:space="preserve">3.1 Logo Concept</w:t>
      </w:r>
    </w:p>
    <w:p>
      <w:pPr>
        <w:spacing w:after="140" w:line="300"/>
      </w:pPr>
      <w:r>
        <w:rPr>
          <w:rFonts w:ascii="Inter" w:cs="Inter" w:eastAsia="Inter" w:hAnsi="Inter"/>
          <w:b w:val="false"/>
          <w:bCs w:val="false"/>
          <w:i w:val="false"/>
          <w:iCs w:val="false"/>
          <w:color w:val="3A372F"/>
          <w:sz w:val="21"/>
          <w:szCs w:val="21"/>
        </w:rPr>
        <w:t xml:space="preserve">The BahriaConnect mark is built on a house-shield-checkmark motif: a rounded “B” monogram formed from a home silhouette and a verification checkmark, rendered in Trust Ink with an Amber accent. This directly encodes the brand's two core promises — home (local, residential) and verified (structured, accountable). The current sketch (attached reference) is a working concept; final artwork should be redrawn by a vector illustrator following the construction rules below, but the geometry, proportion, and color logic must be preserved.</w:t>
      </w:r>
    </w:p>
    <w:p>
      <w:pPr>
        <w:pStyle w:val="Heading2"/>
        <w:spacing w:after="150" w:before="300"/>
      </w:pPr>
      <w:r>
        <w:rPr>
          <w:rFonts w:ascii="Manrope" w:cs="Manrope" w:eastAsia="Manrope" w:hAnsi="Manrope"/>
          <w:b/>
          <w:bCs/>
          <w:color w:val="163A45"/>
          <w:sz w:val="26"/>
          <w:szCs w:val="26"/>
        </w:rPr>
        <w:t xml:space="preserve">3.2 Primary Logo</w:t>
      </w:r>
    </w:p>
    <w:p>
      <w:pPr>
        <w:spacing w:after="140" w:line="300"/>
      </w:pPr>
      <w:r>
        <w:rPr>
          <w:rFonts w:ascii="Inter" w:cs="Inter" w:eastAsia="Inter" w:hAnsi="Inter"/>
          <w:b w:val="false"/>
          <w:bCs w:val="false"/>
          <w:i w:val="false"/>
          <w:iCs w:val="false"/>
          <w:color w:val="3A372F"/>
          <w:sz w:val="21"/>
          <w:szCs w:val="21"/>
        </w:rPr>
        <w:t xml:space="preserve">Configuration: House-shield-checkmark icon set to the left, locked up with the wordmark “BAHRIA TOWN” (or “BAHRIACONNECT” once the name is finalized) in Manrope Bold, with the descriptor line “VERIFIED SERVICES PLATFORM” and locality tag “KARACHI” in Manrope SemiBold beneath, and the sign-off line “TRUSTED PEOPLE. SAFER HOMES.” in a light weight.</w:t>
      </w:r>
    </w:p>
    <w:p>
      <w:pPr>
        <w:pStyle w:val="ListParagraph"/>
        <w:numPr>
          <w:ilvl w:val="0"/>
          <w:numId w:val="2"/>
        </w:numPr>
        <w:spacing w:after="80"/>
      </w:pPr>
      <w:r>
        <w:rPr>
          <w:rFonts w:ascii="Inter" w:cs="Inter" w:eastAsia="Inter" w:hAnsi="Inter"/>
          <w:color w:val="3A372F"/>
          <w:sz w:val="21"/>
          <w:szCs w:val="21"/>
        </w:rPr>
        <w:t xml:space="preserve">Primary color: Icon in Trust Ink (#1E4D5C) with Amber Soft (#E8B04B) accent on the checkmark/roof intersection.</w:t>
      </w:r>
    </w:p>
    <w:p>
      <w:pPr>
        <w:pStyle w:val="ListParagraph"/>
        <w:numPr>
          <w:ilvl w:val="0"/>
          <w:numId w:val="2"/>
        </w:numPr>
        <w:spacing w:after="80"/>
      </w:pPr>
      <w:r>
        <w:rPr>
          <w:rFonts w:ascii="Inter" w:cs="Inter" w:eastAsia="Inter" w:hAnsi="Inter"/>
          <w:color w:val="3A372F"/>
          <w:sz w:val="21"/>
          <w:szCs w:val="21"/>
        </w:rPr>
        <w:t xml:space="preserve">Wordmark: Trust Ink, Manrope Bold, tight letter-spacing on “BAHRIA,” wider tracking on “TOWN.”</w:t>
      </w:r>
    </w:p>
    <w:p>
      <w:pPr>
        <w:pStyle w:val="ListParagraph"/>
        <w:numPr>
          <w:ilvl w:val="0"/>
          <w:numId w:val="2"/>
        </w:numPr>
        <w:spacing w:after="80"/>
      </w:pPr>
      <w:r>
        <w:rPr>
          <w:rFonts w:ascii="Inter" w:cs="Inter" w:eastAsia="Inter" w:hAnsi="Inter"/>
          <w:color w:val="3A372F"/>
          <w:sz w:val="21"/>
          <w:szCs w:val="21"/>
        </w:rPr>
        <w:t xml:space="preserve">Primary use: hero placements — splash screens, homepage header, official documents, partnership materials, out-of-home.</w:t>
      </w:r>
    </w:p>
    <w:p>
      <w:pPr>
        <w:pStyle w:val="Heading2"/>
        <w:spacing w:after="150" w:before="300"/>
      </w:pPr>
      <w:r>
        <w:rPr>
          <w:rFonts w:ascii="Manrope" w:cs="Manrope" w:eastAsia="Manrope" w:hAnsi="Manrope"/>
          <w:b/>
          <w:bCs/>
          <w:color w:val="163A45"/>
          <w:sz w:val="26"/>
          <w:szCs w:val="26"/>
        </w:rPr>
        <w:t xml:space="preserve">3.3 Secondary Logo / Submark</w:t>
      </w:r>
    </w:p>
    <w:p>
      <w:pPr>
        <w:spacing w:after="140" w:line="300"/>
      </w:pPr>
      <w:r>
        <w:rPr>
          <w:rFonts w:ascii="Inter" w:cs="Inter" w:eastAsia="Inter" w:hAnsi="Inter"/>
          <w:b w:val="false"/>
          <w:bCs w:val="false"/>
          <w:i w:val="false"/>
          <w:iCs w:val="false"/>
          <w:color w:val="3A372F"/>
          <w:sz w:val="21"/>
          <w:szCs w:val="21"/>
        </w:rPr>
        <w:t xml:space="preserve">A compact horizontal lockup pairing the icon with a single-line wordmark, used when vertical space is limited (navigation bars, footers, headers of internal tools). A stamp/badge variant (icon inside a circular or rounded-square container) serves as the app icon and the small-scale “verified” badge builder used throughout the product.</w:t>
      </w:r>
    </w:p>
    <w:p>
      <w:pPr>
        <w:pStyle w:val="Heading2"/>
        <w:spacing w:after="150" w:before="300"/>
      </w:pPr>
      <w:r>
        <w:rPr>
          <w:rFonts w:ascii="Manrope" w:cs="Manrope" w:eastAsia="Manrope" w:hAnsi="Manrope"/>
          <w:b/>
          <w:bCs/>
          <w:color w:val="163A45"/>
          <w:sz w:val="26"/>
          <w:szCs w:val="26"/>
        </w:rPr>
        <w:t xml:space="preserve">3.4 Responsive Logo Behavior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Breakpoint / Context</w:t>
            </w:r>
          </w:p>
        </w:tc>
        <w:tc>
          <w:tcPr>
            <w:tcW w:type="dxa" w:w="59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Lockup to use</w:t>
            </w:r>
          </w:p>
        </w:tc>
      </w:tr>
      <w:tr>
        <w:tc>
          <w:tcPr>
            <w:tcW w:type="dxa" w:w="3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Desktop website header (≥ 1200px)</w:t>
            </w:r>
          </w:p>
        </w:tc>
        <w:tc>
          <w:tcPr>
            <w:tcW w:type="dxa" w:w="5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Full primary logo with descriptor + sign-off lines</w:t>
            </w:r>
          </w:p>
        </w:tc>
      </w:tr>
      <w:tr>
        <w:tc>
          <w:tcPr>
            <w:tcW w:type="dxa" w:w="34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Tablet / mobile web header</w:t>
            </w:r>
          </w:p>
        </w:tc>
        <w:tc>
          <w:tcPr>
            <w:tcW w:type="dxa" w:w="5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Secondary horizontal lockup, icon + wordmark only</w:t>
            </w:r>
          </w:p>
        </w:tc>
      </w:tr>
      <w:tr>
        <w:tc>
          <w:tcPr>
            <w:tcW w:type="dxa" w:w="3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Mobile app nav bar</w:t>
            </w:r>
          </w:p>
        </w:tc>
        <w:tc>
          <w:tcPr>
            <w:tcW w:type="dxa" w:w="5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 mark only (no wordmark)</w:t>
            </w:r>
          </w:p>
        </w:tc>
      </w:tr>
      <w:tr>
        <w:tc>
          <w:tcPr>
            <w:tcW w:type="dxa" w:w="34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App icon / favicon</w:t>
            </w:r>
          </w:p>
        </w:tc>
        <w:tc>
          <w:tcPr>
            <w:tcW w:type="dxa" w:w="5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Icon-only badge, rounded-square container</w:t>
            </w:r>
          </w:p>
        </w:tc>
      </w:tr>
      <w:tr>
        <w:tc>
          <w:tcPr>
            <w:tcW w:type="dxa" w:w="3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Social avatar (all platforms)</w:t>
            </w:r>
          </w:p>
        </w:tc>
        <w:tc>
          <w:tcPr>
            <w:tcW w:type="dxa" w:w="5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Icon-only badge on Cream BG or Trust Ink field</w:t>
            </w:r>
          </w:p>
        </w:tc>
      </w:tr>
      <w:tr>
        <w:tc>
          <w:tcPr>
            <w:tcW w:type="dxa" w:w="34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Email signature / letterhead</w:t>
            </w:r>
          </w:p>
        </w:tc>
        <w:tc>
          <w:tcPr>
            <w:tcW w:type="dxa" w:w="5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Secondary horizontal lockup</w:t>
            </w:r>
          </w:p>
        </w:tc>
      </w:tr>
      <w:tr>
        <w:tc>
          <w:tcPr>
            <w:tcW w:type="dxa" w:w="3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Watermarks / merchandise</w:t>
            </w:r>
          </w:p>
        </w:tc>
        <w:tc>
          <w:tcPr>
            <w:tcW w:type="dxa" w:w="5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 mark, single color (Trust Ink or White)</w:t>
            </w:r>
          </w:p>
        </w:tc>
      </w:tr>
    </w:tbl>
    <w:p>
      <w:pPr>
        <w:pStyle w:val="Heading2"/>
        <w:spacing w:after="150" w:before="300"/>
      </w:pPr>
      <w:r>
        <w:rPr>
          <w:rFonts w:ascii="Manrope" w:cs="Manrope" w:eastAsia="Manrope" w:hAnsi="Manrope"/>
          <w:b/>
          <w:bCs/>
          <w:color w:val="163A45"/>
          <w:sz w:val="26"/>
          <w:szCs w:val="26"/>
        </w:rPr>
        <w:t xml:space="preserve">3.5 Logo Icon</w:t>
      </w:r>
    </w:p>
    <w:p>
      <w:pPr>
        <w:spacing w:after="140" w:line="300"/>
      </w:pPr>
      <w:r>
        <w:rPr>
          <w:rFonts w:ascii="Inter" w:cs="Inter" w:eastAsia="Inter" w:hAnsi="Inter"/>
          <w:b w:val="false"/>
          <w:bCs w:val="false"/>
          <w:i w:val="false"/>
          <w:iCs w:val="false"/>
          <w:color w:val="3A372F"/>
          <w:sz w:val="21"/>
          <w:szCs w:val="21"/>
        </w:rPr>
        <w:t xml:space="preserve">The icon alone — the house-shield-checkmark — is the brand's most flexible asset. It must always retain the roofline, the shield silhouette, and the checkmark negative space or accent stroke; simplifying below that (e.g., dropping the checkmark) is prohibited, as the checkmark is the single most important trust signal in the mark.</w:t>
      </w:r>
    </w:p>
    <w:p>
      <w:pPr>
        <w:pStyle w:val="Heading2"/>
        <w:spacing w:after="150" w:before="300"/>
      </w:pPr>
      <w:r>
        <w:rPr>
          <w:rFonts w:ascii="Manrope" w:cs="Manrope" w:eastAsia="Manrope" w:hAnsi="Manrope"/>
          <w:b/>
          <w:bCs/>
          <w:color w:val="163A45"/>
          <w:sz w:val="26"/>
          <w:szCs w:val="26"/>
        </w:rPr>
        <w:t xml:space="preserve">3.6 Logo Variations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Variation</w:t>
            </w:r>
          </w:p>
        </w:tc>
        <w:tc>
          <w:tcPr>
            <w:tcW w:type="dxa" w:w="63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Usage</w:t>
            </w:r>
          </w:p>
        </w:tc>
      </w:tr>
      <w:tr>
        <w:tc>
          <w:tcPr>
            <w:tcW w:type="dxa" w:w="30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Full color (Trust Ink + Amber)</w:t>
            </w:r>
          </w:p>
        </w:tc>
        <w:tc>
          <w:tcPr>
            <w:tcW w:type="dxa" w:w="63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Default, used on Cream BG or white backgrounds</w:t>
            </w:r>
          </w:p>
        </w:tc>
      </w:tr>
      <w:tr>
        <w:tc>
          <w:tcPr>
            <w:tcW w:type="dxa" w:w="30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Reversed / white</w:t>
            </w:r>
          </w:p>
        </w:tc>
        <w:tc>
          <w:tcPr>
            <w:tcW w:type="dxa" w:w="63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Used on Trust Ink, Verified Green, or photographic backgrounds</w:t>
            </w:r>
          </w:p>
        </w:tc>
      </w:tr>
      <w:tr>
        <w:tc>
          <w:tcPr>
            <w:tcW w:type="dxa" w:w="30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Monochrome Trust Ink</w:t>
            </w:r>
          </w:p>
        </w:tc>
        <w:tc>
          <w:tcPr>
            <w:tcW w:type="dxa" w:w="63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Single-color print, embossing, faxes, low-cost merchandise</w:t>
            </w:r>
          </w:p>
        </w:tc>
      </w:tr>
      <w:tr>
        <w:tc>
          <w:tcPr>
            <w:tcW w:type="dxa" w:w="30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Monochrome white</w:t>
            </w:r>
          </w:p>
        </w:tc>
        <w:tc>
          <w:tcPr>
            <w:tcW w:type="dxa" w:w="63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Dark or busy photographic backgrounds</w:t>
            </w:r>
          </w:p>
        </w:tc>
      </w:tr>
      <w:tr>
        <w:tc>
          <w:tcPr>
            <w:tcW w:type="dxa" w:w="30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Icon-only badge</w:t>
            </w:r>
          </w:p>
        </w:tc>
        <w:tc>
          <w:tcPr>
            <w:tcW w:type="dxa" w:w="63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Avatars, favicons, app icon, small UI badges</w:t>
            </w:r>
          </w:p>
        </w:tc>
      </w:tr>
    </w:tbl>
    <w:p>
      <w:pPr>
        <w:pStyle w:val="Heading2"/>
        <w:spacing w:after="150" w:before="300"/>
      </w:pPr>
      <w:r>
        <w:rPr>
          <w:rFonts w:ascii="Manrope" w:cs="Manrope" w:eastAsia="Manrope" w:hAnsi="Manrope"/>
          <w:b/>
          <w:bCs/>
          <w:color w:val="163A45"/>
          <w:sz w:val="26"/>
          <w:szCs w:val="26"/>
        </w:rPr>
        <w:t xml:space="preserve">3.7 Logo Clear Space</w:t>
      </w:r>
    </w:p>
    <w:p>
      <w:pPr>
        <w:spacing w:after="140" w:line="300"/>
      </w:pPr>
      <w:r>
        <w:rPr>
          <w:rFonts w:ascii="Inter" w:cs="Inter" w:eastAsia="Inter" w:hAnsi="Inter"/>
          <w:b w:val="false"/>
          <w:bCs w:val="false"/>
          <w:i w:val="false"/>
          <w:iCs w:val="false"/>
          <w:color w:val="3A372F"/>
          <w:sz w:val="21"/>
          <w:szCs w:val="21"/>
        </w:rPr>
        <w:t xml:space="preserve">Minimum clear space around the logo on all sides equals the height of the checkmark element within the icon (defined as “X”). No text, imagery, edges, or other logos may enter this zone. On busy layouts, double the clear space (2X) is preferred.</w:t>
      </w:r>
    </w:p>
    <w:p>
      <w:pPr>
        <w:pStyle w:val="Heading2"/>
        <w:spacing w:after="150" w:before="300"/>
      </w:pPr>
      <w:r>
        <w:rPr>
          <w:rFonts w:ascii="Manrope" w:cs="Manrope" w:eastAsia="Manrope" w:hAnsi="Manrope"/>
          <w:b/>
          <w:bCs/>
          <w:color w:val="163A45"/>
          <w:sz w:val="26"/>
          <w:szCs w:val="26"/>
        </w:rPr>
        <w:t xml:space="preserve">3.8 Logo Minimum Size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Format</w:t>
            </w:r>
          </w:p>
        </w:tc>
        <w:tc>
          <w:tcPr>
            <w:tcW w:type="dxa" w:w="51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Minimum size</w:t>
            </w:r>
          </w:p>
        </w:tc>
      </w:tr>
      <w:tr>
        <w:tc>
          <w:tcPr>
            <w:tcW w:type="dxa" w:w="42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Primary lockup — print</w:t>
            </w:r>
          </w:p>
        </w:tc>
        <w:tc>
          <w:tcPr>
            <w:tcW w:type="dxa" w:w="51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35 mm / 1.4 in wide</w:t>
            </w:r>
          </w:p>
        </w:tc>
      </w:tr>
      <w:tr>
        <w:tc>
          <w:tcPr>
            <w:tcW w:type="dxa" w:w="42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Primary lockup — digital</w:t>
            </w:r>
          </w:p>
        </w:tc>
        <w:tc>
          <w:tcPr>
            <w:tcW w:type="dxa" w:w="51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160 px wide</w:t>
            </w:r>
          </w:p>
        </w:tc>
      </w:tr>
      <w:tr>
        <w:tc>
          <w:tcPr>
            <w:tcW w:type="dxa" w:w="42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Secondary horizontal lockup — digital</w:t>
            </w:r>
          </w:p>
        </w:tc>
        <w:tc>
          <w:tcPr>
            <w:tcW w:type="dxa" w:w="51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100 px wide</w:t>
            </w:r>
          </w:p>
        </w:tc>
      </w:tr>
      <w:tr>
        <w:tc>
          <w:tcPr>
            <w:tcW w:type="dxa" w:w="42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Icon-only badge — digital</w:t>
            </w:r>
          </w:p>
        </w:tc>
        <w:tc>
          <w:tcPr>
            <w:tcW w:type="dxa" w:w="51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24 px × 24 px (favicon minimum), 40 px recommended for UI</w:t>
            </w:r>
          </w:p>
        </w:tc>
      </w:tr>
      <w:tr>
        <w:tc>
          <w:tcPr>
            <w:tcW w:type="dxa" w:w="42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Icon-only — print / merchandise</w:t>
            </w:r>
          </w:p>
        </w:tc>
        <w:tc>
          <w:tcPr>
            <w:tcW w:type="dxa" w:w="51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10 mm × 10 mm</w:t>
            </w:r>
          </w:p>
        </w:tc>
      </w:tr>
    </w:tbl>
    <w:p>
      <w:pPr>
        <w:pStyle w:val="Heading2"/>
        <w:spacing w:after="150" w:before="300"/>
      </w:pPr>
      <w:r>
        <w:rPr>
          <w:rFonts w:ascii="Manrope" w:cs="Manrope" w:eastAsia="Manrope" w:hAnsi="Manrope"/>
          <w:b/>
          <w:bCs/>
          <w:color w:val="163A45"/>
          <w:sz w:val="26"/>
          <w:szCs w:val="26"/>
        </w:rPr>
        <w:t xml:space="preserve">3.9 Logo Misuse Guidelines</w:t>
      </w:r>
    </w:p>
    <w:p>
      <w:pPr>
        <w:spacing w:after="140" w:line="300"/>
      </w:pPr>
      <w:r>
        <w:rPr>
          <w:rFonts w:ascii="Inter" w:cs="Inter" w:eastAsia="Inter" w:hAnsi="Inter"/>
          <w:b w:val="false"/>
          <w:bCs w:val="false"/>
          <w:i w:val="false"/>
          <w:iCs w:val="false"/>
          <w:color w:val="3A372F"/>
          <w:sz w:val="21"/>
          <w:szCs w:val="21"/>
        </w:rPr>
        <w:t xml:space="preserve">The following are strictly prohibited across every touchpoint:</w:t>
      </w:r>
    </w:p>
    <w:p>
      <w:pPr>
        <w:pStyle w:val="ListParagraph"/>
        <w:numPr>
          <w:ilvl w:val="0"/>
          <w:numId w:val="2"/>
        </w:numPr>
        <w:spacing w:after="80"/>
      </w:pPr>
      <w:r>
        <w:rPr>
          <w:rFonts w:ascii="Inter" w:cs="Inter" w:eastAsia="Inter" w:hAnsi="Inter"/>
          <w:color w:val="3A372F"/>
          <w:sz w:val="21"/>
          <w:szCs w:val="21"/>
        </w:rPr>
        <w:t xml:space="preserve">Do not stretch, skew, or disproportionately scale the logo.</w:t>
      </w:r>
    </w:p>
    <w:p>
      <w:pPr>
        <w:pStyle w:val="ListParagraph"/>
        <w:numPr>
          <w:ilvl w:val="0"/>
          <w:numId w:val="2"/>
        </w:numPr>
        <w:spacing w:after="80"/>
      </w:pPr>
      <w:r>
        <w:rPr>
          <w:rFonts w:ascii="Inter" w:cs="Inter" w:eastAsia="Inter" w:hAnsi="Inter"/>
          <w:color w:val="3A372F"/>
          <w:sz w:val="21"/>
          <w:szCs w:val="21"/>
        </w:rPr>
        <w:t xml:space="preserve">Do not recolor the icon outside the approved palette (no gradients on the icon, no off-brand hues).</w:t>
      </w:r>
    </w:p>
    <w:p>
      <w:pPr>
        <w:pStyle w:val="ListParagraph"/>
        <w:numPr>
          <w:ilvl w:val="0"/>
          <w:numId w:val="2"/>
        </w:numPr>
        <w:spacing w:after="80"/>
      </w:pPr>
      <w:r>
        <w:rPr>
          <w:rFonts w:ascii="Inter" w:cs="Inter" w:eastAsia="Inter" w:hAnsi="Inter"/>
          <w:color w:val="3A372F"/>
          <w:sz w:val="21"/>
          <w:szCs w:val="21"/>
        </w:rPr>
        <w:t xml:space="preserve">Do not rotate the icon or wordmark.</w:t>
      </w:r>
    </w:p>
    <w:p>
      <w:pPr>
        <w:pStyle w:val="ListParagraph"/>
        <w:numPr>
          <w:ilvl w:val="0"/>
          <w:numId w:val="2"/>
        </w:numPr>
        <w:spacing w:after="80"/>
      </w:pPr>
      <w:r>
        <w:rPr>
          <w:rFonts w:ascii="Inter" w:cs="Inter" w:eastAsia="Inter" w:hAnsi="Inter"/>
          <w:color w:val="3A372F"/>
          <w:sz w:val="21"/>
          <w:szCs w:val="21"/>
        </w:rPr>
        <w:t xml:space="preserve">Do not place the full-color logo on low-contrast backgrounds (e.g., Amber on Sand).</w:t>
      </w:r>
    </w:p>
    <w:p>
      <w:pPr>
        <w:pStyle w:val="ListParagraph"/>
        <w:numPr>
          <w:ilvl w:val="0"/>
          <w:numId w:val="2"/>
        </w:numPr>
        <w:spacing w:after="80"/>
      </w:pPr>
      <w:r>
        <w:rPr>
          <w:rFonts w:ascii="Inter" w:cs="Inter" w:eastAsia="Inter" w:hAnsi="Inter"/>
          <w:color w:val="3A372F"/>
          <w:sz w:val="21"/>
          <w:szCs w:val="21"/>
        </w:rPr>
        <w:t xml:space="preserve">Do not add drop shadows, bevels, outlines, or other effects.</w:t>
      </w:r>
    </w:p>
    <w:p>
      <w:pPr>
        <w:pStyle w:val="ListParagraph"/>
        <w:numPr>
          <w:ilvl w:val="0"/>
          <w:numId w:val="2"/>
        </w:numPr>
        <w:spacing w:after="80"/>
      </w:pPr>
      <w:r>
        <w:rPr>
          <w:rFonts w:ascii="Inter" w:cs="Inter" w:eastAsia="Inter" w:hAnsi="Inter"/>
          <w:color w:val="3A372F"/>
          <w:sz w:val="21"/>
          <w:szCs w:val="21"/>
        </w:rPr>
        <w:t xml:space="preserve">Do not remove the checkmark from the icon or alter the house/shield silhouette.</w:t>
      </w:r>
    </w:p>
    <w:p>
      <w:pPr>
        <w:pStyle w:val="ListParagraph"/>
        <w:numPr>
          <w:ilvl w:val="0"/>
          <w:numId w:val="2"/>
        </w:numPr>
        <w:spacing w:after="80"/>
      </w:pPr>
      <w:r>
        <w:rPr>
          <w:rFonts w:ascii="Inter" w:cs="Inter" w:eastAsia="Inter" w:hAnsi="Inter"/>
          <w:color w:val="3A372F"/>
          <w:sz w:val="21"/>
          <w:szCs w:val="21"/>
        </w:rPr>
        <w:t xml:space="preserve">Do not typeset the wordmark in a different typeface, weight, or letter-spacing than specified.</w:t>
      </w:r>
    </w:p>
    <w:p>
      <w:pPr>
        <w:pStyle w:val="ListParagraph"/>
        <w:numPr>
          <w:ilvl w:val="0"/>
          <w:numId w:val="2"/>
        </w:numPr>
        <w:spacing w:after="80"/>
      </w:pPr>
      <w:r>
        <w:rPr>
          <w:rFonts w:ascii="Inter" w:cs="Inter" w:eastAsia="Inter" w:hAnsi="Inter"/>
          <w:color w:val="3A372F"/>
          <w:sz w:val="21"/>
          <w:szCs w:val="21"/>
        </w:rPr>
        <w:t xml:space="preserve">Do not crowd the logo — always respect minimum clear space.</w:t>
      </w:r>
    </w:p>
    <w:p>
      <w:pPr>
        <w:pStyle w:val="ListParagraph"/>
        <w:numPr>
          <w:ilvl w:val="0"/>
          <w:numId w:val="2"/>
        </w:numPr>
        <w:spacing w:after="80"/>
      </w:pPr>
      <w:r>
        <w:rPr>
          <w:rFonts w:ascii="Inter" w:cs="Inter" w:eastAsia="Inter" w:hAnsi="Inter"/>
          <w:color w:val="3A372F"/>
          <w:sz w:val="21"/>
          <w:szCs w:val="21"/>
        </w:rPr>
        <w:t xml:space="preserve">Do not place the icon-only mark where it could be confused with the “verified” checkmark badge used inside the product UI — keep brand mark and UI badge visually distinct in context.</w:t>
      </w:r>
    </w:p>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4. Color System</w:t>
      </w:r>
    </w:p>
    <w:p>
      <w:pPr>
        <w:pStyle w:val="Heading2"/>
        <w:spacing w:after="150" w:before="300"/>
      </w:pPr>
      <w:r>
        <w:rPr>
          <w:rFonts w:ascii="Manrope" w:cs="Manrope" w:eastAsia="Manrope" w:hAnsi="Manrope"/>
          <w:b/>
          <w:bCs/>
          <w:color w:val="163A45"/>
          <w:sz w:val="26"/>
          <w:szCs w:val="26"/>
        </w:rPr>
        <w:t xml:space="preserve">4.1 Primary Palette</w:t>
      </w:r>
    </w:p>
    <w:p>
      <w:pPr>
        <w:spacing w:after="140" w:line="300"/>
      </w:pPr>
      <w:r>
        <w:rPr>
          <w:rFonts w:ascii="Inter" w:cs="Inter" w:eastAsia="Inter" w:hAnsi="Inter"/>
          <w:b w:val="false"/>
          <w:bCs w:val="false"/>
          <w:i w:val="false"/>
          <w:iCs w:val="false"/>
          <w:color w:val="3A372F"/>
          <w:sz w:val="21"/>
          <w:szCs w:val="21"/>
        </w:rPr>
        <w:t xml:space="preserve">Ink blue anchors trust and authority (management, verification badges); sand and cream echo Bahria Town's residential warmth; verified green flags approved providers; amber drives calls-to-action like “Request 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900"/>
        <w:gridCol w:w="2000"/>
        <w:gridCol w:w="2250"/>
      </w:tblGrid>
      <w:tr>
        <w:tc>
          <w:tcPr>
            <w:tcW w:type="dxa" w:w="16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Color</w:t>
            </w:r>
          </w:p>
        </w:tc>
        <w:tc>
          <w:tcPr>
            <w:tcW w:type="dxa" w:w="16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HEX</w:t>
            </w:r>
          </w:p>
        </w:tc>
        <w:tc>
          <w:tcPr>
            <w:tcW w:type="dxa" w:w="19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RGB</w:t>
            </w:r>
          </w:p>
        </w:tc>
        <w:tc>
          <w:tcPr>
            <w:tcW w:type="dxa" w:w="20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CMYK</w:t>
            </w:r>
          </w:p>
        </w:tc>
        <w:tc>
          <w:tcPr>
            <w:tcW w:type="dxa" w:w="225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Primary Use</w:t>
            </w:r>
          </w:p>
        </w:tc>
      </w:tr>
      <w:tr>
        <w:tc>
          <w:tcPr>
            <w:tcW w:type="dxa" w:w="1600"/>
            <w:shd w:fill="1E4D5C" w:val="clear"/>
            <w:tcMar>
              <w:top w:type="dxa" w:w="140"/>
              <w:left w:type="dxa" w:w="120"/>
              <w:bottom w:type="dxa" w:w="140"/>
              <w:right w:type="dxa" w:w="120"/>
            </w:tcMar>
            <w:vAlign w:val="center"/>
          </w:tcPr>
          <w:p>
            <w:r>
              <w:rPr>
                <w:rFonts w:ascii="Manrope" w:cs="Manrope" w:eastAsia="Manrope" w:hAnsi="Manrope"/>
                <w:b/>
                <w:bCs/>
                <w:color w:val="FFFFFF"/>
                <w:sz w:val="19"/>
                <w:szCs w:val="19"/>
              </w:rPr>
              <w:t xml:space="preserve">Trust Ink</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#1E4D5C</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30, 77, 92</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67, 16, 0, 64</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Headers, primary text, authority/management UI, primary buttons (outline)</w:t>
            </w:r>
          </w:p>
        </w:tc>
      </w:tr>
      <w:tr>
        <w:tc>
          <w:tcPr>
            <w:tcW w:type="dxa" w:w="1600"/>
            <w:shd w:fill="E8DDC8"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Bahria Sand</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#E8DDC8</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232, 221, 200</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0, 5, 14, 9</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Secondary backgrounds, card borders, residential warmth accents</w:t>
            </w:r>
          </w:p>
        </w:tc>
      </w:tr>
      <w:tr>
        <w:tc>
          <w:tcPr>
            <w:tcW w:type="dxa" w:w="1600"/>
            <w:shd w:fill="3F8F6F"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Verified Green</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#3F8F6F</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63, 143, 111</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56, 0, 22, 44</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Verified badges, success states, approved-provider indicators</w:t>
            </w:r>
          </w:p>
        </w:tc>
      </w:tr>
      <w:tr>
        <w:tc>
          <w:tcPr>
            <w:tcW w:type="dxa" w:w="1600"/>
            <w:shd w:fill="3A372F" w:val="clear"/>
            <w:tcMar>
              <w:top w:type="dxa" w:w="140"/>
              <w:left w:type="dxa" w:w="120"/>
              <w:bottom w:type="dxa" w:w="140"/>
              <w:right w:type="dxa" w:w="120"/>
            </w:tcMar>
            <w:vAlign w:val="center"/>
          </w:tcPr>
          <w:p>
            <w:r>
              <w:rPr>
                <w:rFonts w:ascii="Manrope" w:cs="Manrope" w:eastAsia="Manrope" w:hAnsi="Manrope"/>
                <w:b/>
                <w:bCs/>
                <w:color w:val="FFFFFF"/>
                <w:sz w:val="19"/>
                <w:szCs w:val="19"/>
              </w:rPr>
              <w:t xml:space="preserve">Charcoal Text</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#3A372F</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58, 55, 47</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0, 5, 19, 77</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Body copy, default text color</w:t>
            </w:r>
          </w:p>
        </w:tc>
      </w:tr>
      <w:tr>
        <w:tc>
          <w:tcPr>
            <w:tcW w:type="dxa" w:w="1600"/>
            <w:shd w:fill="E8B04B"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Amber Soft</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#E8B04B</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232, 176, 75</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0, 24, 68, 9</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Primary CTAs (“Request Service”), highlights, active states</w:t>
            </w:r>
          </w:p>
        </w:tc>
      </w:tr>
      <w:tr>
        <w:tc>
          <w:tcPr>
            <w:tcW w:type="dxa" w:w="1600"/>
            <w:shd w:fill="F5F1E8"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Cream BG</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#F5F1E8</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245, 241, 232</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0, 2, 5, 4</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Primary app/website background</w:t>
            </w:r>
          </w:p>
        </w:tc>
      </w:tr>
    </w:tbl>
    <w:p>
      <w:pPr>
        <w:spacing w:after="200"/>
      </w:pPr>
    </w:p>
    <w:p>
      <w:pPr>
        <w:pStyle w:val="Heading2"/>
        <w:spacing w:after="150" w:before="300"/>
      </w:pPr>
      <w:r>
        <w:rPr>
          <w:rFonts w:ascii="Manrope" w:cs="Manrope" w:eastAsia="Manrope" w:hAnsi="Manrope"/>
          <w:b/>
          <w:bCs/>
          <w:color w:val="163A45"/>
          <w:sz w:val="26"/>
          <w:szCs w:val="26"/>
        </w:rPr>
        <w:t xml:space="preserve">4.2 Secondary Palette</w:t>
      </w:r>
    </w:p>
    <w:p>
      <w:pPr>
        <w:spacing w:after="140" w:line="300"/>
      </w:pPr>
      <w:r>
        <w:rPr>
          <w:rFonts w:ascii="Inter" w:cs="Inter" w:eastAsia="Inter" w:hAnsi="Inter"/>
          <w:b w:val="false"/>
          <w:bCs w:val="false"/>
          <w:i w:val="false"/>
          <w:iCs w:val="false"/>
          <w:color w:val="3A372F"/>
          <w:sz w:val="21"/>
          <w:szCs w:val="21"/>
        </w:rPr>
        <w:t xml:space="preserve">Tints and shades of the primary palette, used for depth, layering, and data visualization without introducing new hues.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900"/>
        <w:gridCol w:w="2000"/>
        <w:gridCol w:w="2250"/>
      </w:tblGrid>
      <w:tr>
        <w:tc>
          <w:tcPr>
            <w:tcW w:type="dxa" w:w="16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Color</w:t>
            </w:r>
          </w:p>
        </w:tc>
        <w:tc>
          <w:tcPr>
            <w:tcW w:type="dxa" w:w="16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HEX</w:t>
            </w:r>
          </w:p>
        </w:tc>
        <w:tc>
          <w:tcPr>
            <w:tcW w:type="dxa" w:w="19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RGB</w:t>
            </w:r>
          </w:p>
        </w:tc>
        <w:tc>
          <w:tcPr>
            <w:tcW w:type="dxa" w:w="20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CMYK</w:t>
            </w:r>
          </w:p>
        </w:tc>
        <w:tc>
          <w:tcPr>
            <w:tcW w:type="dxa" w:w="225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Primary Use</w:t>
            </w:r>
          </w:p>
        </w:tc>
      </w:tr>
      <w:tr>
        <w:tc>
          <w:tcPr>
            <w:tcW w:type="dxa" w:w="1600"/>
            <w:shd w:fill="163A45" w:val="clear"/>
            <w:tcMar>
              <w:top w:type="dxa" w:w="140"/>
              <w:left w:type="dxa" w:w="120"/>
              <w:bottom w:type="dxa" w:w="140"/>
              <w:right w:type="dxa" w:w="120"/>
            </w:tcMar>
            <w:vAlign w:val="center"/>
          </w:tcPr>
          <w:p>
            <w:r>
              <w:rPr>
                <w:rFonts w:ascii="Manrope" w:cs="Manrope" w:eastAsia="Manrope" w:hAnsi="Manrope"/>
                <w:b/>
                <w:bCs/>
                <w:color w:val="FFFFFF"/>
                <w:sz w:val="19"/>
                <w:szCs w:val="19"/>
              </w:rPr>
              <w:t xml:space="preserve">Ink Deep</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#163A45</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22, 58, 69</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68, 16, 0, 73</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Hover/pressed states for Trust Ink elements, dark-mode surfaces</w:t>
            </w:r>
          </w:p>
        </w:tc>
      </w:tr>
      <w:tr>
        <w:tc>
          <w:tcPr>
            <w:tcW w:type="dxa" w:w="1600"/>
            <w:shd w:fill="CFE0E4"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Ink Tint 20%</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#CFE0E4</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207, 224, 228</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9, 2, 0, 11</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Info banners, selected-state backgrounds</w:t>
            </w:r>
          </w:p>
        </w:tc>
      </w:tr>
      <w:tr>
        <w:tc>
          <w:tcPr>
            <w:tcW w:type="dxa" w:w="1600"/>
            <w:shd w:fill="D8ECE3"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Green Tint 20%</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#D8ECE3</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216, 236, 227</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8, 0, 4, 7</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Success banner backgrounds, verified-card fills</w:t>
            </w:r>
          </w:p>
        </w:tc>
      </w:tr>
      <w:tr>
        <w:tc>
          <w:tcPr>
            <w:tcW w:type="dxa" w:w="1600"/>
            <w:shd w:fill="D8D3C8"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Fog Gray</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#D8D3C8</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216, 211, 200</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0, 2, 7, 15</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Dividers, disabled states, input borders</w:t>
            </w:r>
          </w:p>
        </w:tc>
      </w:tr>
    </w:tbl>
    <w:p>
      <w:pPr>
        <w:spacing w:after="200"/>
      </w:pPr>
    </w:p>
    <w:p>
      <w:pPr>
        <w:pStyle w:val="Heading2"/>
        <w:spacing w:after="150" w:before="300"/>
      </w:pPr>
      <w:r>
        <w:rPr>
          <w:rFonts w:ascii="Manrope" w:cs="Manrope" w:eastAsia="Manrope" w:hAnsi="Manrope"/>
          <w:b/>
          <w:bCs/>
          <w:color w:val="163A45"/>
          <w:sz w:val="26"/>
          <w:szCs w:val="26"/>
        </w:rPr>
        <w:t xml:space="preserve">4.3 Accent Colors</w:t>
      </w:r>
    </w:p>
    <w:p>
      <w:pPr>
        <w:spacing w:after="140" w:line="300"/>
      </w:pPr>
      <w:r>
        <w:rPr>
          <w:rFonts w:ascii="Inter" w:cs="Inter" w:eastAsia="Inter" w:hAnsi="Inter"/>
          <w:b w:val="false"/>
          <w:bCs w:val="false"/>
          <w:i w:val="false"/>
          <w:iCs w:val="false"/>
          <w:color w:val="3A372F"/>
          <w:sz w:val="21"/>
          <w:szCs w:val="21"/>
        </w:rPr>
        <w:t xml:space="preserve">Reserved for system feedback — used sparingly and never as decorative color.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900"/>
        <w:gridCol w:w="2000"/>
        <w:gridCol w:w="2250"/>
      </w:tblGrid>
      <w:tr>
        <w:tc>
          <w:tcPr>
            <w:tcW w:type="dxa" w:w="16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Color</w:t>
            </w:r>
          </w:p>
        </w:tc>
        <w:tc>
          <w:tcPr>
            <w:tcW w:type="dxa" w:w="16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HEX</w:t>
            </w:r>
          </w:p>
        </w:tc>
        <w:tc>
          <w:tcPr>
            <w:tcW w:type="dxa" w:w="19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RGB</w:t>
            </w:r>
          </w:p>
        </w:tc>
        <w:tc>
          <w:tcPr>
            <w:tcW w:type="dxa" w:w="20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CMYK</w:t>
            </w:r>
          </w:p>
        </w:tc>
        <w:tc>
          <w:tcPr>
            <w:tcW w:type="dxa" w:w="225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Primary Use</w:t>
            </w:r>
          </w:p>
        </w:tc>
      </w:tr>
      <w:tr>
        <w:tc>
          <w:tcPr>
            <w:tcW w:type="dxa" w:w="1600"/>
            <w:shd w:fill="E8B04B"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Request Amber</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#E8B04B</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232, 176, 75</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0, 24, 68, 9</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Primary CTA / action color (see 4.1)</w:t>
            </w:r>
          </w:p>
        </w:tc>
      </w:tr>
      <w:tr>
        <w:tc>
          <w:tcPr>
            <w:tcW w:type="dxa" w:w="1600"/>
            <w:shd w:fill="D96C4B"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Alert Coral</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#D96C4B</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217, 108, 75</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0, 50, 65, 15</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Errors, cancellations, destructive actions</w:t>
            </w:r>
          </w:p>
        </w:tc>
      </w:tr>
      <w:tr>
        <w:tc>
          <w:tcPr>
            <w:tcW w:type="dxa" w:w="1600"/>
            <w:shd w:fill="8FB9C4"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Confirm Sky</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#8FB9C4</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143, 185, 196</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27, 6, 0, 23</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Informational states, pending/in-progress indicators</w:t>
            </w:r>
          </w:p>
        </w:tc>
      </w:tr>
    </w:tbl>
    <w:p>
      <w:pPr>
        <w:spacing w:after="200"/>
      </w:pPr>
    </w:p>
    <w:p>
      <w:pPr>
        <w:pStyle w:val="Heading2"/>
        <w:spacing w:after="150" w:before="300"/>
      </w:pPr>
      <w:r>
        <w:rPr>
          <w:rFonts w:ascii="Manrope" w:cs="Manrope" w:eastAsia="Manrope" w:hAnsi="Manrope"/>
          <w:b/>
          <w:bCs/>
          <w:color w:val="163A45"/>
          <w:sz w:val="26"/>
          <w:szCs w:val="26"/>
        </w:rPr>
        <w:t xml:space="preserve">4.4 Neutral Colors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900"/>
        <w:gridCol w:w="2000"/>
        <w:gridCol w:w="2250"/>
      </w:tblGrid>
      <w:tr>
        <w:tc>
          <w:tcPr>
            <w:tcW w:type="dxa" w:w="16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Color</w:t>
            </w:r>
          </w:p>
        </w:tc>
        <w:tc>
          <w:tcPr>
            <w:tcW w:type="dxa" w:w="16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HEX</w:t>
            </w:r>
          </w:p>
        </w:tc>
        <w:tc>
          <w:tcPr>
            <w:tcW w:type="dxa" w:w="19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RGB</w:t>
            </w:r>
          </w:p>
        </w:tc>
        <w:tc>
          <w:tcPr>
            <w:tcW w:type="dxa" w:w="200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CMYK</w:t>
            </w:r>
          </w:p>
        </w:tc>
        <w:tc>
          <w:tcPr>
            <w:tcW w:type="dxa" w:w="2250"/>
            <w:shd w:fill="3A372F" w:val="clear"/>
            <w:tcMar>
              <w:top w:type="dxa" w:w="100"/>
              <w:left w:type="dxa" w:w="120"/>
              <w:bottom w:type="dxa" w:w="100"/>
              <w:right w:type="dxa" w:w="120"/>
            </w:tcMar>
            <w:vAlign w:val="center"/>
          </w:tcPr>
          <w:p>
            <w:r>
              <w:rPr>
                <w:rFonts w:ascii="Inter" w:cs="Inter" w:eastAsia="Inter" w:hAnsi="Inter"/>
                <w:b/>
                <w:bCs/>
                <w:color w:val="FFFFFF"/>
                <w:sz w:val="19"/>
                <w:szCs w:val="19"/>
              </w:rPr>
              <w:t xml:space="preserve">Primary Use</w:t>
            </w:r>
          </w:p>
        </w:tc>
      </w:tr>
      <w:tr>
        <w:tc>
          <w:tcPr>
            <w:tcW w:type="dxa" w:w="1600"/>
            <w:shd w:fill="3A372F" w:val="clear"/>
            <w:tcMar>
              <w:top w:type="dxa" w:w="140"/>
              <w:left w:type="dxa" w:w="120"/>
              <w:bottom w:type="dxa" w:w="140"/>
              <w:right w:type="dxa" w:w="120"/>
            </w:tcMar>
            <w:vAlign w:val="center"/>
          </w:tcPr>
          <w:p>
            <w:r>
              <w:rPr>
                <w:rFonts w:ascii="Manrope" w:cs="Manrope" w:eastAsia="Manrope" w:hAnsi="Manrope"/>
                <w:b/>
                <w:bCs/>
                <w:color w:val="FFFFFF"/>
                <w:sz w:val="19"/>
                <w:szCs w:val="19"/>
              </w:rPr>
              <w:t xml:space="preserve">Charcoal Text</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#3A372F</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58, 55, 47</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0, 5, 19, 77</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Primary body text</w:t>
            </w:r>
          </w:p>
        </w:tc>
      </w:tr>
      <w:tr>
        <w:tc>
          <w:tcPr>
            <w:tcW w:type="dxa" w:w="1600"/>
            <w:shd w:fill="6B6B63"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Slate Gray</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#6B6B63</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107, 107, 99</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0, 0, 7, 58</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Secondary/meta text, captions, timestamps</w:t>
            </w:r>
          </w:p>
        </w:tc>
      </w:tr>
      <w:tr>
        <w:tc>
          <w:tcPr>
            <w:tcW w:type="dxa" w:w="1600"/>
            <w:shd w:fill="D8D3C8"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Fog Gray</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#D8D3C8</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216, 211, 200</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0, 2, 7, 15</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Borders, dividers, disabled UI</w:t>
            </w:r>
          </w:p>
        </w:tc>
      </w:tr>
      <w:tr>
        <w:tc>
          <w:tcPr>
            <w:tcW w:type="dxa" w:w="1600"/>
            <w:shd w:fill="F5F1E8"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Cream BG</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#F5F1E8</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245, 241, 232</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0, 2, 5, 4</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Default background</w:t>
            </w:r>
          </w:p>
        </w:tc>
      </w:tr>
      <w:tr>
        <w:tc>
          <w:tcPr>
            <w:tcW w:type="dxa" w:w="1600"/>
            <w:shd w:fill="FFFFFF" w:val="clear"/>
            <w:tcMar>
              <w:top w:type="dxa" w:w="140"/>
              <w:left w:type="dxa" w:w="120"/>
              <w:bottom w:type="dxa" w:w="140"/>
              <w:right w:type="dxa" w:w="120"/>
            </w:tcMar>
            <w:vAlign w:val="center"/>
          </w:tcPr>
          <w:p>
            <w:r>
              <w:rPr>
                <w:rFonts w:ascii="Manrope" w:cs="Manrope" w:eastAsia="Manrope" w:hAnsi="Manrope"/>
                <w:b/>
                <w:bCs/>
                <w:color w:val="3A372F"/>
                <w:sz w:val="19"/>
                <w:szCs w:val="19"/>
              </w:rPr>
              <w:t xml:space="preserve">Pure White</w:t>
            </w:r>
          </w:p>
        </w:tc>
        <w:tc>
          <w:tcPr>
            <w:tcW w:type="dxa" w:w="16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#FFFFFF</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255, 255, 255</w:t>
            </w:r>
          </w:p>
        </w:tc>
        <w:tc>
          <w:tcPr>
            <w:tcW w:type="dxa" w:w="200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0, 0, 0, 0</w:t>
            </w:r>
          </w:p>
        </w:tc>
        <w:tc>
          <w:tcPr>
            <w:tcW w:type="dxa" w:w="2250"/>
            <w:shd w:fill="FFFFFF" w:val="clear"/>
            <w:tcMar>
              <w:top w:type="dxa" w:w="100"/>
              <w:left w:type="dxa" w:w="120"/>
              <w:bottom w:type="dxa" w:w="100"/>
              <w:right w:type="dxa" w:w="120"/>
            </w:tcMar>
            <w:vAlign w:val="center"/>
          </w:tcPr>
          <w:p>
            <w:r>
              <w:rPr>
                <w:rFonts w:ascii="Inter" w:cs="Inter" w:eastAsia="Inter" w:hAnsi="Inter"/>
                <w:b w:val="false"/>
                <w:bCs w:val="false"/>
                <w:color w:val="3A372F"/>
                <w:sz w:val="19"/>
                <w:szCs w:val="19"/>
              </w:rPr>
              <w:t xml:space="preserve">Cards, modals, elevated surfaces</w:t>
            </w:r>
          </w:p>
        </w:tc>
      </w:tr>
    </w:tbl>
    <w:p>
      <w:pPr>
        <w:spacing w:after="200"/>
      </w:pPr>
    </w:p>
    <w:p>
      <w:pPr>
        <w:pStyle w:val="Heading2"/>
        <w:spacing w:after="150" w:before="300"/>
      </w:pPr>
      <w:r>
        <w:rPr>
          <w:rFonts w:ascii="Manrope" w:cs="Manrope" w:eastAsia="Manrope" w:hAnsi="Manrope"/>
          <w:b/>
          <w:bCs/>
          <w:color w:val="163A45"/>
          <w:sz w:val="26"/>
          <w:szCs w:val="26"/>
        </w:rPr>
        <w:t xml:space="preserve">4.5 Color Usage Ratios</w:t>
      </w:r>
    </w:p>
    <w:p>
      <w:pPr>
        <w:spacing w:after="140" w:line="300"/>
      </w:pPr>
      <w:r>
        <w:rPr>
          <w:rFonts w:ascii="Inter" w:cs="Inter" w:eastAsia="Inter" w:hAnsi="Inter"/>
          <w:b w:val="false"/>
          <w:bCs w:val="false"/>
          <w:i w:val="false"/>
          <w:iCs w:val="false"/>
          <w:color w:val="3A372F"/>
          <w:sz w:val="21"/>
          <w:szCs w:val="21"/>
        </w:rPr>
        <w:t xml:space="preserve">A recommended 60/30/10 balance keeps interfaces calm and consistent: 60% Cream BG / White (space), 30% Trust Ink / Charcoal / Sand (structure, text, cards), 10% Amber / Green / Coral (action and status). No screen should use more than two accent colors (from 4.3) simultaneously.</w:t>
      </w:r>
    </w:p>
    <w:p>
      <w:pPr>
        <w:pStyle w:val="Heading2"/>
        <w:spacing w:after="150" w:before="300"/>
      </w:pPr>
      <w:r>
        <w:rPr>
          <w:rFonts w:ascii="Manrope" w:cs="Manrope" w:eastAsia="Manrope" w:hAnsi="Manrope"/>
          <w:b/>
          <w:bCs/>
          <w:color w:val="163A45"/>
          <w:sz w:val="26"/>
          <w:szCs w:val="26"/>
        </w:rPr>
        <w:t xml:space="preserve">4.6 Accessibility</w:t>
      </w:r>
    </w:p>
    <w:p>
      <w:pPr>
        <w:pStyle w:val="ListParagraph"/>
        <w:numPr>
          <w:ilvl w:val="0"/>
          <w:numId w:val="2"/>
        </w:numPr>
        <w:spacing w:after="80"/>
      </w:pPr>
      <w:r>
        <w:rPr>
          <w:rFonts w:ascii="Inter" w:cs="Inter" w:eastAsia="Inter" w:hAnsi="Inter"/>
          <w:color w:val="3A372F"/>
          <w:sz w:val="21"/>
          <w:szCs w:val="21"/>
        </w:rPr>
        <w:t xml:space="preserve">Body text (Charcoal on Cream/White) meets WCAG AA at all standard sizes.</w:t>
      </w:r>
    </w:p>
    <w:p>
      <w:pPr>
        <w:pStyle w:val="ListParagraph"/>
        <w:numPr>
          <w:ilvl w:val="0"/>
          <w:numId w:val="2"/>
        </w:numPr>
        <w:spacing w:after="80"/>
      </w:pPr>
      <w:r>
        <w:rPr>
          <w:rFonts w:ascii="Inter" w:cs="Inter" w:eastAsia="Inter" w:hAnsi="Inter"/>
          <w:color w:val="3A372F"/>
          <w:sz w:val="21"/>
          <w:szCs w:val="21"/>
        </w:rPr>
        <w:t xml:space="preserve">White text is only permitted on Trust Ink, Ink Deep, Verified Green, or Alert Coral — never on Amber Soft or Bahria Sand (insufficient contrast).</w:t>
      </w:r>
    </w:p>
    <w:p>
      <w:pPr>
        <w:pStyle w:val="ListParagraph"/>
        <w:numPr>
          <w:ilvl w:val="0"/>
          <w:numId w:val="2"/>
        </w:numPr>
        <w:spacing w:after="80"/>
      </w:pPr>
      <w:r>
        <w:rPr>
          <w:rFonts w:ascii="Inter" w:cs="Inter" w:eastAsia="Inter" w:hAnsi="Inter"/>
          <w:color w:val="3A372F"/>
          <w:sz w:val="21"/>
          <w:szCs w:val="21"/>
        </w:rPr>
        <w:t xml:space="preserve">Never use color alone to communicate verification status — always pair the green “Verified” state with the checkmark icon and label text.</w:t>
      </w:r>
    </w:p>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5. Typography System</w:t>
      </w:r>
    </w:p>
    <w:p>
      <w:pPr>
        <w:pStyle w:val="Heading2"/>
        <w:spacing w:after="150" w:before="300"/>
      </w:pPr>
      <w:r>
        <w:rPr>
          <w:rFonts w:ascii="Manrope" w:cs="Manrope" w:eastAsia="Manrope" w:hAnsi="Manrope"/>
          <w:b/>
          <w:bCs/>
          <w:color w:val="163A45"/>
          <w:sz w:val="26"/>
          <w:szCs w:val="26"/>
        </w:rPr>
        <w:t xml:space="preserve">5.1 Typeface Family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50"/>
      </w:tblGrid>
      <w:tr>
        <w:tc>
          <w:tcPr>
            <w:tcW w:type="dxa" w:w="22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Role</w:t>
            </w:r>
          </w:p>
        </w:tc>
        <w:tc>
          <w:tcPr>
            <w:tcW w:type="dxa" w:w="28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Typeface</w:t>
            </w:r>
          </w:p>
        </w:tc>
        <w:tc>
          <w:tcPr>
            <w:tcW w:type="dxa" w:w="43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Usage</w:t>
            </w:r>
          </w:p>
        </w:tc>
      </w:tr>
      <w:tr>
        <w:tc>
          <w:tcPr>
            <w:tcW w:type="dxa" w:w="22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Headings</w:t>
            </w:r>
          </w:p>
        </w:tc>
        <w:tc>
          <w:tcPr>
            <w:tcW w:type="dxa" w:w="28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Manrope Bold</w:t>
            </w:r>
          </w:p>
        </w:tc>
        <w:tc>
          <w:tcPr>
            <w:tcW w:type="dxa" w:w="43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H1–H3, hero statements, section titles</w:t>
            </w:r>
          </w:p>
        </w:tc>
      </w:tr>
      <w:tr>
        <w:tc>
          <w:tcPr>
            <w:tcW w:type="dxa" w:w="22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Subheadings</w:t>
            </w:r>
          </w:p>
        </w:tc>
        <w:tc>
          <w:tcPr>
            <w:tcW w:type="dxa" w:w="28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Manrope SemiBold</w:t>
            </w:r>
          </w:p>
        </w:tc>
        <w:tc>
          <w:tcPr>
            <w:tcW w:type="dxa" w:w="43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H4–H6, card titles, nav labels</w:t>
            </w:r>
          </w:p>
        </w:tc>
      </w:tr>
      <w:tr>
        <w:tc>
          <w:tcPr>
            <w:tcW w:type="dxa" w:w="22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Body</w:t>
            </w:r>
          </w:p>
        </w:tc>
        <w:tc>
          <w:tcPr>
            <w:tcW w:type="dxa" w:w="28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Inter Regular</w:t>
            </w:r>
          </w:p>
        </w:tc>
        <w:tc>
          <w:tcPr>
            <w:tcW w:type="dxa" w:w="43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Paragraphs, profiles, reviews, statuses — chosen for high legibility at small sizes</w:t>
            </w:r>
          </w:p>
        </w:tc>
      </w:tr>
      <w:tr>
        <w:tc>
          <w:tcPr>
            <w:tcW w:type="dxa" w:w="22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Highlight / Badges</w:t>
            </w:r>
          </w:p>
        </w:tc>
        <w:tc>
          <w:tcPr>
            <w:tcW w:type="dxa" w:w="28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Nunito Bold</w:t>
            </w:r>
          </w:p>
        </w:tc>
        <w:tc>
          <w:tcPr>
            <w:tcW w:type="dxa" w:w="43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“Verified” badges, tags, pill labels — friendly and rounded to soften trust-critical UI</w:t>
            </w:r>
          </w:p>
        </w:tc>
      </w:tr>
    </w:tbl>
    <w:p>
      <w:pPr>
        <w:spacing w:after="200"/>
      </w:pPr>
    </w:p>
    <w:p>
      <w:pPr>
        <w:pStyle w:val="Heading2"/>
        <w:spacing w:after="150" w:before="300"/>
      </w:pPr>
      <w:r>
        <w:rPr>
          <w:rFonts w:ascii="Manrope" w:cs="Manrope" w:eastAsia="Manrope" w:hAnsi="Manrope"/>
          <w:b/>
          <w:bCs/>
          <w:color w:val="163A45"/>
          <w:sz w:val="26"/>
          <w:szCs w:val="26"/>
        </w:rPr>
        <w:t xml:space="preserve">5.2 Font Hierarchy (Web &amp; 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650"/>
        <w:gridCol w:w="1750"/>
        <w:gridCol w:w="1950"/>
      </w:tblGrid>
      <w:tr>
        <w:tc>
          <w:tcPr>
            <w:tcW w:type="dxa" w:w="19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Level</w:t>
            </w:r>
          </w:p>
        </w:tc>
        <w:tc>
          <w:tcPr>
            <w:tcW w:type="dxa" w:w="21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Font / Weight</w:t>
            </w:r>
          </w:p>
        </w:tc>
        <w:tc>
          <w:tcPr>
            <w:tcW w:type="dxa" w:w="16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Size (Web)</w:t>
            </w:r>
          </w:p>
        </w:tc>
        <w:tc>
          <w:tcPr>
            <w:tcW w:type="dxa" w:w="17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Size (Mobile)</w:t>
            </w:r>
          </w:p>
        </w:tc>
        <w:tc>
          <w:tcPr>
            <w:tcW w:type="dxa" w:w="19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Line height</w:t>
            </w:r>
          </w:p>
        </w:tc>
      </w:tr>
      <w:tr>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H1 / Display</w:t>
            </w:r>
          </w:p>
        </w:tc>
        <w:tc>
          <w:tcPr>
            <w:tcW w:type="dxa" w:w="21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Manrope Bold</w:t>
            </w:r>
          </w:p>
        </w:tc>
        <w:tc>
          <w:tcPr>
            <w:tcW w:type="dxa" w:w="16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48px</w:t>
            </w:r>
          </w:p>
        </w:tc>
        <w:tc>
          <w:tcPr>
            <w:tcW w:type="dxa" w:w="1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32px</w:t>
            </w:r>
          </w:p>
        </w:tc>
        <w:tc>
          <w:tcPr>
            <w:tcW w:type="dxa" w:w="1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1.15</w:t>
            </w:r>
          </w:p>
        </w:tc>
      </w:tr>
      <w:tr>
        <w:tc>
          <w:tcPr>
            <w:tcW w:type="dxa" w:w="19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H2</w:t>
            </w:r>
          </w:p>
        </w:tc>
        <w:tc>
          <w:tcPr>
            <w:tcW w:type="dxa" w:w="21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Manrope Bold</w:t>
            </w:r>
          </w:p>
        </w:tc>
        <w:tc>
          <w:tcPr>
            <w:tcW w:type="dxa" w:w="16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36px</w:t>
            </w:r>
          </w:p>
        </w:tc>
        <w:tc>
          <w:tcPr>
            <w:tcW w:type="dxa" w:w="17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26px</w:t>
            </w:r>
          </w:p>
        </w:tc>
        <w:tc>
          <w:tcPr>
            <w:tcW w:type="dxa" w:w="1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1.2</w:t>
            </w:r>
          </w:p>
        </w:tc>
      </w:tr>
      <w:tr>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H3</w:t>
            </w:r>
          </w:p>
        </w:tc>
        <w:tc>
          <w:tcPr>
            <w:tcW w:type="dxa" w:w="21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Manrope SemiBold</w:t>
            </w:r>
          </w:p>
        </w:tc>
        <w:tc>
          <w:tcPr>
            <w:tcW w:type="dxa" w:w="16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28px</w:t>
            </w:r>
          </w:p>
        </w:tc>
        <w:tc>
          <w:tcPr>
            <w:tcW w:type="dxa" w:w="1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22px</w:t>
            </w:r>
          </w:p>
        </w:tc>
        <w:tc>
          <w:tcPr>
            <w:tcW w:type="dxa" w:w="1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1.25</w:t>
            </w:r>
          </w:p>
        </w:tc>
      </w:tr>
      <w:tr>
        <w:tc>
          <w:tcPr>
            <w:tcW w:type="dxa" w:w="19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H4 / Card title</w:t>
            </w:r>
          </w:p>
        </w:tc>
        <w:tc>
          <w:tcPr>
            <w:tcW w:type="dxa" w:w="21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Manrope SemiBold</w:t>
            </w:r>
          </w:p>
        </w:tc>
        <w:tc>
          <w:tcPr>
            <w:tcW w:type="dxa" w:w="16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20px</w:t>
            </w:r>
          </w:p>
        </w:tc>
        <w:tc>
          <w:tcPr>
            <w:tcW w:type="dxa" w:w="17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18px</w:t>
            </w:r>
          </w:p>
        </w:tc>
        <w:tc>
          <w:tcPr>
            <w:tcW w:type="dxa" w:w="1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1.3</w:t>
            </w:r>
          </w:p>
        </w:tc>
      </w:tr>
      <w:tr>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Body Large</w:t>
            </w:r>
          </w:p>
        </w:tc>
        <w:tc>
          <w:tcPr>
            <w:tcW w:type="dxa" w:w="21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Inter Regular</w:t>
            </w:r>
          </w:p>
        </w:tc>
        <w:tc>
          <w:tcPr>
            <w:tcW w:type="dxa" w:w="16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18px</w:t>
            </w:r>
          </w:p>
        </w:tc>
        <w:tc>
          <w:tcPr>
            <w:tcW w:type="dxa" w:w="1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16px</w:t>
            </w:r>
          </w:p>
        </w:tc>
        <w:tc>
          <w:tcPr>
            <w:tcW w:type="dxa" w:w="1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1.5</w:t>
            </w:r>
          </w:p>
        </w:tc>
      </w:tr>
      <w:tr>
        <w:tc>
          <w:tcPr>
            <w:tcW w:type="dxa" w:w="19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Body</w:t>
            </w:r>
          </w:p>
        </w:tc>
        <w:tc>
          <w:tcPr>
            <w:tcW w:type="dxa" w:w="21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Inter Regular</w:t>
            </w:r>
          </w:p>
        </w:tc>
        <w:tc>
          <w:tcPr>
            <w:tcW w:type="dxa" w:w="16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16px</w:t>
            </w:r>
          </w:p>
        </w:tc>
        <w:tc>
          <w:tcPr>
            <w:tcW w:type="dxa" w:w="17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14px</w:t>
            </w:r>
          </w:p>
        </w:tc>
        <w:tc>
          <w:tcPr>
            <w:tcW w:type="dxa" w:w="1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1.5</w:t>
            </w:r>
          </w:p>
        </w:tc>
      </w:tr>
      <w:tr>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Caption / Meta</w:t>
            </w:r>
          </w:p>
        </w:tc>
        <w:tc>
          <w:tcPr>
            <w:tcW w:type="dxa" w:w="21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Inter Regular</w:t>
            </w:r>
          </w:p>
        </w:tc>
        <w:tc>
          <w:tcPr>
            <w:tcW w:type="dxa" w:w="16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13px</w:t>
            </w:r>
          </w:p>
        </w:tc>
        <w:tc>
          <w:tcPr>
            <w:tcW w:type="dxa" w:w="1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12px</w:t>
            </w:r>
          </w:p>
        </w:tc>
        <w:tc>
          <w:tcPr>
            <w:tcW w:type="dxa" w:w="1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1.4</w:t>
            </w:r>
          </w:p>
        </w:tc>
      </w:tr>
      <w:tr>
        <w:tc>
          <w:tcPr>
            <w:tcW w:type="dxa" w:w="19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Badge / Tag</w:t>
            </w:r>
          </w:p>
        </w:tc>
        <w:tc>
          <w:tcPr>
            <w:tcW w:type="dxa" w:w="21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Nunito Bold</w:t>
            </w:r>
          </w:p>
        </w:tc>
        <w:tc>
          <w:tcPr>
            <w:tcW w:type="dxa" w:w="16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13px</w:t>
            </w:r>
          </w:p>
        </w:tc>
        <w:tc>
          <w:tcPr>
            <w:tcW w:type="dxa" w:w="17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12px</w:t>
            </w:r>
          </w:p>
        </w:tc>
        <w:tc>
          <w:tcPr>
            <w:tcW w:type="dxa" w:w="19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1.0</w:t>
            </w:r>
          </w:p>
        </w:tc>
      </w:tr>
      <w:tr>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Button Label</w:t>
            </w:r>
          </w:p>
        </w:tc>
        <w:tc>
          <w:tcPr>
            <w:tcW w:type="dxa" w:w="21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Manrope SemiBold</w:t>
            </w:r>
          </w:p>
        </w:tc>
        <w:tc>
          <w:tcPr>
            <w:tcW w:type="dxa" w:w="16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16px</w:t>
            </w:r>
          </w:p>
        </w:tc>
        <w:tc>
          <w:tcPr>
            <w:tcW w:type="dxa" w:w="1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15px</w:t>
            </w:r>
          </w:p>
        </w:tc>
        <w:tc>
          <w:tcPr>
            <w:tcW w:type="dxa" w:w="19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1.0</w:t>
            </w:r>
          </w:p>
        </w:tc>
      </w:tr>
    </w:tbl>
    <w:p>
      <w:pPr>
        <w:spacing w:after="200"/>
      </w:pPr>
    </w:p>
    <w:p>
      <w:pPr>
        <w:pStyle w:val="Heading2"/>
        <w:spacing w:after="150" w:before="300"/>
      </w:pPr>
      <w:r>
        <w:rPr>
          <w:rFonts w:ascii="Manrope" w:cs="Manrope" w:eastAsia="Manrope" w:hAnsi="Manrope"/>
          <w:b/>
          <w:bCs/>
          <w:color w:val="163A45"/>
          <w:sz w:val="26"/>
          <w:szCs w:val="26"/>
        </w:rPr>
        <w:t xml:space="preserve">5.3 Font Pairings</w:t>
      </w:r>
    </w:p>
    <w:p>
      <w:pPr>
        <w:pStyle w:val="ListParagraph"/>
        <w:numPr>
          <w:ilvl w:val="0"/>
          <w:numId w:val="2"/>
        </w:numPr>
        <w:spacing w:after="80"/>
      </w:pPr>
      <w:r>
        <w:rPr>
          <w:rFonts w:ascii="Inter" w:cs="Inter" w:eastAsia="Inter" w:hAnsi="Inter"/>
          <w:color w:val="3A372F"/>
          <w:sz w:val="21"/>
          <w:szCs w:val="21"/>
        </w:rPr>
        <w:t xml:space="preserve">Manrope Bold (heading) + Inter Regular (body) — the default pairing for all marketing and product surfaces; a geometric, confident heading against a highly legible, neutral body creates the “structured but warm” feel.</w:t>
      </w:r>
    </w:p>
    <w:p>
      <w:pPr>
        <w:pStyle w:val="ListParagraph"/>
        <w:numPr>
          <w:ilvl w:val="0"/>
          <w:numId w:val="2"/>
        </w:numPr>
        <w:spacing w:after="80"/>
      </w:pPr>
      <w:r>
        <w:rPr>
          <w:rFonts w:ascii="Inter" w:cs="Inter" w:eastAsia="Inter" w:hAnsi="Inter"/>
          <w:color w:val="3A372F"/>
          <w:sz w:val="21"/>
          <w:szCs w:val="21"/>
        </w:rPr>
        <w:t xml:space="preserve">Manrope SemiBold (subheading) + Nunito Bold (badge) — used together on provider cards, where the subheading names the provider and the badge confirms verification status.</w:t>
      </w:r>
    </w:p>
    <w:p>
      <w:pPr>
        <w:pStyle w:val="ListParagraph"/>
        <w:numPr>
          <w:ilvl w:val="0"/>
          <w:numId w:val="2"/>
        </w:numPr>
        <w:spacing w:after="80"/>
      </w:pPr>
      <w:r>
        <w:rPr>
          <w:rFonts w:ascii="Inter" w:cs="Inter" w:eastAsia="Inter" w:hAnsi="Inter"/>
          <w:color w:val="3A372F"/>
          <w:sz w:val="21"/>
          <w:szCs w:val="21"/>
        </w:rPr>
        <w:t xml:space="preserve">Never pair more than 3 typefaces on a single screen. Never substitute a fourth display font for stylistic variety.</w:t>
      </w:r>
    </w:p>
    <w:p>
      <w:pPr>
        <w:pStyle w:val="Heading2"/>
        <w:spacing w:after="150" w:before="300"/>
      </w:pPr>
      <w:r>
        <w:rPr>
          <w:rFonts w:ascii="Manrope" w:cs="Manrope" w:eastAsia="Manrope" w:hAnsi="Manrope"/>
          <w:b/>
          <w:bCs/>
          <w:color w:val="163A45"/>
          <w:sz w:val="26"/>
          <w:szCs w:val="26"/>
        </w:rPr>
        <w:t xml:space="preserve">5.4 Typographic Rules</w:t>
      </w:r>
    </w:p>
    <w:p>
      <w:pPr>
        <w:pStyle w:val="ListParagraph"/>
        <w:numPr>
          <w:ilvl w:val="0"/>
          <w:numId w:val="2"/>
        </w:numPr>
        <w:spacing w:after="80"/>
      </w:pPr>
      <w:r>
        <w:rPr>
          <w:rFonts w:ascii="Inter" w:cs="Inter" w:eastAsia="Inter" w:hAnsi="Inter"/>
          <w:color w:val="3A372F"/>
          <w:sz w:val="21"/>
          <w:szCs w:val="21"/>
        </w:rPr>
        <w:t xml:space="preserve">Sentence case for UI copy and headings (“Request a verified plumber,” not “Request A Verified Plumber”).</w:t>
      </w:r>
    </w:p>
    <w:p>
      <w:pPr>
        <w:pStyle w:val="ListParagraph"/>
        <w:numPr>
          <w:ilvl w:val="0"/>
          <w:numId w:val="2"/>
        </w:numPr>
        <w:spacing w:after="80"/>
      </w:pPr>
      <w:r>
        <w:rPr>
          <w:rFonts w:ascii="Inter" w:cs="Inter" w:eastAsia="Inter" w:hAnsi="Inter"/>
          <w:color w:val="3A372F"/>
          <w:sz w:val="21"/>
          <w:szCs w:val="21"/>
        </w:rPr>
        <w:t xml:space="preserve">ALL CAPS reserved for: eyebrow labels, badge micro-copy, and the wordmark descriptor lines only — always with +4% letter-spacing when caps are used.</w:t>
      </w:r>
    </w:p>
    <w:p>
      <w:pPr>
        <w:pStyle w:val="ListParagraph"/>
        <w:numPr>
          <w:ilvl w:val="0"/>
          <w:numId w:val="2"/>
        </w:numPr>
        <w:spacing w:after="80"/>
      </w:pPr>
      <w:r>
        <w:rPr>
          <w:rFonts w:ascii="Inter" w:cs="Inter" w:eastAsia="Inter" w:hAnsi="Inter"/>
          <w:color w:val="3A372F"/>
          <w:sz w:val="21"/>
          <w:szCs w:val="21"/>
        </w:rPr>
        <w:t xml:space="preserve">Minimum body text size on mobile: 14px. Minimum any text size: 11px (legal/fine print only).</w:t>
      </w:r>
    </w:p>
    <w:p>
      <w:pPr>
        <w:pStyle w:val="ListParagraph"/>
        <w:numPr>
          <w:ilvl w:val="0"/>
          <w:numId w:val="2"/>
        </w:numPr>
        <w:spacing w:after="80"/>
      </w:pPr>
      <w:r>
        <w:rPr>
          <w:rFonts w:ascii="Inter" w:cs="Inter" w:eastAsia="Inter" w:hAnsi="Inter"/>
          <w:color w:val="3A372F"/>
          <w:sz w:val="21"/>
          <w:szCs w:val="21"/>
        </w:rPr>
        <w:t xml:space="preserve">Left-align body copy; center-alignment reserved for short marketing statements and empty states.</w:t>
      </w:r>
    </w:p>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6. Visual Language</w:t>
      </w:r>
    </w:p>
    <w:p>
      <w:pPr>
        <w:pStyle w:val="Heading2"/>
        <w:spacing w:after="150" w:before="300"/>
      </w:pPr>
      <w:r>
        <w:rPr>
          <w:rFonts w:ascii="Manrope" w:cs="Manrope" w:eastAsia="Manrope" w:hAnsi="Manrope"/>
          <w:b/>
          <w:bCs/>
          <w:color w:val="163A45"/>
          <w:sz w:val="26"/>
          <w:szCs w:val="26"/>
        </w:rPr>
        <w:t xml:space="preserve">6.1 Art Direction</w:t>
      </w:r>
    </w:p>
    <w:p>
      <w:pPr>
        <w:spacing w:after="140" w:line="300"/>
      </w:pPr>
      <w:r>
        <w:rPr>
          <w:rFonts w:ascii="Inter" w:cs="Inter" w:eastAsia="Inter" w:hAnsi="Inter"/>
          <w:b w:val="false"/>
          <w:bCs w:val="false"/>
          <w:i w:val="false"/>
          <w:iCs w:val="false"/>
          <w:color w:val="3A372F"/>
          <w:sz w:val="21"/>
          <w:szCs w:val="21"/>
        </w:rPr>
        <w:t xml:space="preserve">BahriaConnect's visual world feels like a warm, structured neighborhood — verification badges and status pills throughout, ink blue for authority, amber for action, soft sand and cream grounding it in Bahria Town's residential warmth. Every surface should read as a trustworthy ID profile, never a generic e-commerce listing.</w:t>
      </w:r>
    </w:p>
    <w:p>
      <w:pPr>
        <w:pStyle w:val="Heading2"/>
        <w:spacing w:after="150" w:before="300"/>
      </w:pPr>
      <w:r>
        <w:rPr>
          <w:rFonts w:ascii="Manrope" w:cs="Manrope" w:eastAsia="Manrope" w:hAnsi="Manrope"/>
          <w:b/>
          <w:bCs/>
          <w:color w:val="163A45"/>
          <w:sz w:val="26"/>
          <w:szCs w:val="26"/>
        </w:rPr>
        <w:t xml:space="preserve">6.2 Photography Style</w:t>
      </w:r>
    </w:p>
    <w:p>
      <w:pPr>
        <w:pStyle w:val="ListParagraph"/>
        <w:numPr>
          <w:ilvl w:val="0"/>
          <w:numId w:val="2"/>
        </w:numPr>
        <w:spacing w:after="80"/>
      </w:pPr>
      <w:r>
        <w:rPr>
          <w:rFonts w:ascii="Inter" w:cs="Inter" w:eastAsia="Inter" w:hAnsi="Inter"/>
          <w:color w:val="3A372F"/>
          <w:sz w:val="21"/>
          <w:szCs w:val="21"/>
        </w:rPr>
        <w:t xml:space="preserve">Warm, natural light only — no harsh studio strobes or blue-toned corporate lighting.</w:t>
      </w:r>
    </w:p>
    <w:p>
      <w:pPr>
        <w:pStyle w:val="ListParagraph"/>
        <w:numPr>
          <w:ilvl w:val="0"/>
          <w:numId w:val="2"/>
        </w:numPr>
        <w:spacing w:after="80"/>
      </w:pPr>
      <w:r>
        <w:rPr>
          <w:rFonts w:ascii="Inter" w:cs="Inter" w:eastAsia="Inter" w:hAnsi="Inter"/>
          <w:color w:val="3A372F"/>
          <w:sz w:val="21"/>
          <w:szCs w:val="21"/>
        </w:rPr>
        <w:t xml:space="preserve">Real-context shots: actual homes, actual tradespeople mid-task. Never staged stock photography or generic “corporate handshake” imagery.</w:t>
      </w:r>
    </w:p>
    <w:p>
      <w:pPr>
        <w:pStyle w:val="ListParagraph"/>
        <w:numPr>
          <w:ilvl w:val="0"/>
          <w:numId w:val="2"/>
        </w:numPr>
        <w:spacing w:after="80"/>
      </w:pPr>
      <w:r>
        <w:rPr>
          <w:rFonts w:ascii="Inter" w:cs="Inter" w:eastAsia="Inter" w:hAnsi="Inter"/>
          <w:color w:val="3A372F"/>
          <w:sz w:val="21"/>
          <w:szCs w:val="21"/>
        </w:rPr>
        <w:t xml:space="preserve">Subjects looking engaged in the work, not posing for the camera.</w:t>
      </w:r>
    </w:p>
    <w:p>
      <w:pPr>
        <w:pStyle w:val="ListParagraph"/>
        <w:numPr>
          <w:ilvl w:val="0"/>
          <w:numId w:val="2"/>
        </w:numPr>
        <w:spacing w:after="80"/>
      </w:pPr>
      <w:r>
        <w:rPr>
          <w:rFonts w:ascii="Inter" w:cs="Inter" w:eastAsia="Inter" w:hAnsi="Inter"/>
          <w:color w:val="3A372F"/>
          <w:sz w:val="21"/>
          <w:szCs w:val="21"/>
        </w:rPr>
        <w:t xml:space="preserve">Include visible environment (tools, uniforms, home interiors typical of Bahria Town) to reinforce locality.</w:t>
      </w:r>
    </w:p>
    <w:p>
      <w:pPr>
        <w:pStyle w:val="ListParagraph"/>
        <w:numPr>
          <w:ilvl w:val="0"/>
          <w:numId w:val="2"/>
        </w:numPr>
        <w:spacing w:after="80"/>
      </w:pPr>
      <w:r>
        <w:rPr>
          <w:rFonts w:ascii="Inter" w:cs="Inter" w:eastAsia="Inter" w:hAnsi="Inter"/>
          <w:color w:val="3A372F"/>
          <w:sz w:val="21"/>
          <w:szCs w:val="21"/>
        </w:rPr>
        <w:t xml:space="preserve">Diverse representation of service categories and provider ages/genders where relevant to the trade.</w:t>
      </w:r>
    </w:p>
    <w:p>
      <w:pPr>
        <w:pStyle w:val="Heading2"/>
        <w:spacing w:after="150" w:before="300"/>
      </w:pPr>
      <w:r>
        <w:rPr>
          <w:rFonts w:ascii="Manrope" w:cs="Manrope" w:eastAsia="Manrope" w:hAnsi="Manrope"/>
          <w:b/>
          <w:bCs/>
          <w:color w:val="163A45"/>
          <w:sz w:val="26"/>
          <w:szCs w:val="26"/>
        </w:rPr>
        <w:t xml:space="preserve">6.3 Image Editing Style</w:t>
      </w:r>
    </w:p>
    <w:p>
      <w:pPr>
        <w:pStyle w:val="ListParagraph"/>
        <w:numPr>
          <w:ilvl w:val="0"/>
          <w:numId w:val="2"/>
        </w:numPr>
        <w:spacing w:after="80"/>
      </w:pPr>
      <w:r>
        <w:rPr>
          <w:rFonts w:ascii="Inter" w:cs="Inter" w:eastAsia="Inter" w:hAnsi="Inter"/>
          <w:color w:val="3A372F"/>
          <w:sz w:val="21"/>
          <w:szCs w:val="21"/>
        </w:rPr>
        <w:t xml:space="preserve">Warm color grade: lift shadows slightly toward Bahria Sand, keep highlights clean, avoid heavy teal-and-orange grading.</w:t>
      </w:r>
    </w:p>
    <w:p>
      <w:pPr>
        <w:pStyle w:val="ListParagraph"/>
        <w:numPr>
          <w:ilvl w:val="0"/>
          <w:numId w:val="2"/>
        </w:numPr>
        <w:spacing w:after="80"/>
      </w:pPr>
      <w:r>
        <w:rPr>
          <w:rFonts w:ascii="Inter" w:cs="Inter" w:eastAsia="Inter" w:hAnsi="Inter"/>
          <w:color w:val="3A372F"/>
          <w:sz w:val="21"/>
          <w:szCs w:val="21"/>
        </w:rPr>
        <w:t xml:space="preserve">Moderate contrast, natural saturation — avoid oversaturated or desaturated/moody filters.</w:t>
      </w:r>
    </w:p>
    <w:p>
      <w:pPr>
        <w:pStyle w:val="ListParagraph"/>
        <w:numPr>
          <w:ilvl w:val="0"/>
          <w:numId w:val="2"/>
        </w:numPr>
        <w:spacing w:after="80"/>
      </w:pPr>
      <w:r>
        <w:rPr>
          <w:rFonts w:ascii="Inter" w:cs="Inter" w:eastAsia="Inter" w:hAnsi="Inter"/>
          <w:color w:val="3A372F"/>
          <w:sz w:val="21"/>
          <w:szCs w:val="21"/>
        </w:rPr>
        <w:t xml:space="preserve">Consistent 4:5 (feed) and 9:16 (story) crop ratios for social; 3:2 for web editorial.</w:t>
      </w:r>
    </w:p>
    <w:p>
      <w:pPr>
        <w:pStyle w:val="ListParagraph"/>
        <w:numPr>
          <w:ilvl w:val="0"/>
          <w:numId w:val="2"/>
        </w:numPr>
        <w:spacing w:after="80"/>
      </w:pPr>
      <w:r>
        <w:rPr>
          <w:rFonts w:ascii="Inter" w:cs="Inter" w:eastAsia="Inter" w:hAnsi="Inter"/>
          <w:color w:val="3A372F"/>
          <w:sz w:val="21"/>
          <w:szCs w:val="21"/>
        </w:rPr>
        <w:t xml:space="preserve">Verification badges and rating overlays, when composited onto photos, always use the flat, high-contrast badge style defined in 6.5 — never a photo-realistic seal.</w:t>
      </w:r>
    </w:p>
    <w:p>
      <w:pPr>
        <w:pStyle w:val="Heading2"/>
        <w:spacing w:after="150" w:before="300"/>
      </w:pPr>
      <w:r>
        <w:rPr>
          <w:rFonts w:ascii="Manrope" w:cs="Manrope" w:eastAsia="Manrope" w:hAnsi="Manrope"/>
          <w:b/>
          <w:bCs/>
          <w:color w:val="163A45"/>
          <w:sz w:val="26"/>
          <w:szCs w:val="26"/>
        </w:rPr>
        <w:t xml:space="preserve">6.4 Illustration Style</w:t>
      </w:r>
    </w:p>
    <w:p>
      <w:pPr>
        <w:spacing w:after="140" w:line="300"/>
      </w:pPr>
      <w:r>
        <w:rPr>
          <w:rFonts w:ascii="Inter" w:cs="Inter" w:eastAsia="Inter" w:hAnsi="Inter"/>
          <w:b w:val="false"/>
          <w:bCs w:val="false"/>
          <w:i w:val="false"/>
          <w:iCs w:val="false"/>
          <w:color w:val="3A372F"/>
          <w:sz w:val="21"/>
          <w:szCs w:val="21"/>
        </w:rPr>
        <w:t xml:space="preserve">Illustration is used sparingly — primarily for onboarding, empty states, and error screens. Style: simple, single-weight line illustrations in Trust Ink with flat Amber or Verified Green fills for emphasis, on Cream backgrounds. Avoid overly cute or cartoonish figures; illustration should feel as precise and structured as the icon system, not whimsical.</w:t>
      </w:r>
    </w:p>
    <w:p>
      <w:pPr>
        <w:pStyle w:val="Heading2"/>
        <w:spacing w:after="150" w:before="300"/>
      </w:pPr>
      <w:r>
        <w:rPr>
          <w:rFonts w:ascii="Manrope" w:cs="Manrope" w:eastAsia="Manrope" w:hAnsi="Manrope"/>
          <w:b/>
          <w:bCs/>
          <w:color w:val="163A45"/>
          <w:sz w:val="26"/>
          <w:szCs w:val="26"/>
        </w:rPr>
        <w:t xml:space="preserve">6.5 Icon Library</w:t>
      </w:r>
    </w:p>
    <w:p>
      <w:pPr>
        <w:pStyle w:val="ListParagraph"/>
        <w:numPr>
          <w:ilvl w:val="0"/>
          <w:numId w:val="2"/>
        </w:numPr>
        <w:spacing w:after="80"/>
      </w:pPr>
      <w:r>
        <w:rPr>
          <w:rFonts w:ascii="Inter" w:cs="Inter" w:eastAsia="Inter" w:hAnsi="Inter"/>
          <w:color w:val="3A372F"/>
          <w:sz w:val="21"/>
          <w:szCs w:val="21"/>
        </w:rPr>
        <w:t xml:space="preserve">Style: clean, single-weight line icons (2px stroke at 24px grid), rounded caps and joins to match Manrope's geometry.</w:t>
      </w:r>
    </w:p>
    <w:p>
      <w:pPr>
        <w:pStyle w:val="ListParagraph"/>
        <w:numPr>
          <w:ilvl w:val="0"/>
          <w:numId w:val="2"/>
        </w:numPr>
        <w:spacing w:after="80"/>
      </w:pPr>
      <w:r>
        <w:rPr>
          <w:rFonts w:ascii="Inter" w:cs="Inter" w:eastAsia="Inter" w:hAnsi="Inter"/>
          <w:color w:val="3A372F"/>
          <w:sz w:val="21"/>
          <w:szCs w:val="21"/>
        </w:rPr>
        <w:t xml:space="preserve">Service-category icons: plumbing, electrical, AC/HVAC, gardening, cleaning, painting, carpentry, appliance repair — each icon must work legibly at 20px.</w:t>
      </w:r>
    </w:p>
    <w:p>
      <w:pPr>
        <w:pStyle w:val="ListParagraph"/>
        <w:numPr>
          <w:ilvl w:val="0"/>
          <w:numId w:val="2"/>
        </w:numPr>
        <w:spacing w:after="80"/>
      </w:pPr>
      <w:r>
        <w:rPr>
          <w:rFonts w:ascii="Inter" w:cs="Inter" w:eastAsia="Inter" w:hAnsi="Inter"/>
          <w:color w:val="3A372F"/>
          <w:sz w:val="21"/>
          <w:szCs w:val="21"/>
        </w:rPr>
        <w:t xml:space="preserve">Status icons: verified (checkmark in circle), pending (clock/dot), confirmed (double check), flagged/alert (exclamation).</w:t>
      </w:r>
    </w:p>
    <w:p>
      <w:pPr>
        <w:pStyle w:val="ListParagraph"/>
        <w:numPr>
          <w:ilvl w:val="0"/>
          <w:numId w:val="2"/>
        </w:numPr>
        <w:spacing w:after="80"/>
      </w:pPr>
      <w:r>
        <w:rPr>
          <w:rFonts w:ascii="Inter" w:cs="Inter" w:eastAsia="Inter" w:hAnsi="Inter"/>
          <w:color w:val="3A372F"/>
          <w:sz w:val="21"/>
          <w:szCs w:val="21"/>
        </w:rPr>
        <w:t xml:space="preserve">Verification badges use flat, high-contrast, filled iconography (not line style) for instant recognition — the one deliberate exception to the line-icon rule, because trust signals must never be ambiguous.</w:t>
      </w:r>
    </w:p>
    <w:p>
      <w:pPr>
        <w:pStyle w:val="Heading2"/>
        <w:spacing w:after="150" w:before="300"/>
      </w:pPr>
      <w:r>
        <w:rPr>
          <w:rFonts w:ascii="Manrope" w:cs="Manrope" w:eastAsia="Manrope" w:hAnsi="Manrope"/>
          <w:b/>
          <w:bCs/>
          <w:color w:val="163A45"/>
          <w:sz w:val="26"/>
          <w:szCs w:val="26"/>
        </w:rPr>
        <w:t xml:space="preserve">6.6 Shapes</w:t>
      </w:r>
    </w:p>
    <w:p>
      <w:pPr>
        <w:pStyle w:val="ListParagraph"/>
        <w:numPr>
          <w:ilvl w:val="0"/>
          <w:numId w:val="2"/>
        </w:numPr>
        <w:spacing w:after="80"/>
      </w:pPr>
      <w:r>
        <w:rPr>
          <w:rFonts w:ascii="Inter" w:cs="Inter" w:eastAsia="Inter" w:hAnsi="Inter"/>
          <w:color w:val="3A372F"/>
          <w:sz w:val="21"/>
          <w:szCs w:val="21"/>
        </w:rPr>
        <w:t xml:space="preserve">Rounded-corner cards (12–16px radius) mirroring the provider profile card language — the single most recognizable shape in the system.</w:t>
      </w:r>
    </w:p>
    <w:p>
      <w:pPr>
        <w:pStyle w:val="ListParagraph"/>
        <w:numPr>
          <w:ilvl w:val="0"/>
          <w:numId w:val="2"/>
        </w:numPr>
        <w:spacing w:after="80"/>
      </w:pPr>
      <w:r>
        <w:rPr>
          <w:rFonts w:ascii="Inter" w:cs="Inter" w:eastAsia="Inter" w:hAnsi="Inter"/>
          <w:color w:val="3A372F"/>
          <w:sz w:val="21"/>
          <w:szCs w:val="21"/>
        </w:rPr>
        <w:t xml:space="preserve">Pill shapes (fully rounded) for status badges and tags (“Verified,” “Confirmed,” “Pending”).</w:t>
      </w:r>
    </w:p>
    <w:p>
      <w:pPr>
        <w:pStyle w:val="ListParagraph"/>
        <w:numPr>
          <w:ilvl w:val="0"/>
          <w:numId w:val="2"/>
        </w:numPr>
        <w:spacing w:after="80"/>
      </w:pPr>
      <w:r>
        <w:rPr>
          <w:rFonts w:ascii="Inter" w:cs="Inter" w:eastAsia="Inter" w:hAnsi="Inter"/>
          <w:color w:val="3A372F"/>
          <w:sz w:val="21"/>
          <w:szCs w:val="21"/>
        </w:rPr>
        <w:t xml:space="preserve">Circular avatars and provider photos, always with a thin 2px Cream ring separating photo from card background.</w:t>
      </w:r>
    </w:p>
    <w:p>
      <w:pPr>
        <w:pStyle w:val="ListParagraph"/>
        <w:numPr>
          <w:ilvl w:val="0"/>
          <w:numId w:val="2"/>
        </w:numPr>
        <w:spacing w:after="80"/>
      </w:pPr>
      <w:r>
        <w:rPr>
          <w:rFonts w:ascii="Inter" w:cs="Inter" w:eastAsia="Inter" w:hAnsi="Inter"/>
          <w:color w:val="3A372F"/>
          <w:sz w:val="21"/>
          <w:szCs w:val="21"/>
        </w:rPr>
        <w:t xml:space="preserve">The house-shield silhouette from the icon may be used as a subtle background motif on marketing pages, at low opacity, never behind body text.</w:t>
      </w:r>
    </w:p>
    <w:p>
      <w:pPr>
        <w:pStyle w:val="Heading2"/>
        <w:spacing w:after="150" w:before="300"/>
      </w:pPr>
      <w:r>
        <w:rPr>
          <w:rFonts w:ascii="Manrope" w:cs="Manrope" w:eastAsia="Manrope" w:hAnsi="Manrope"/>
          <w:b/>
          <w:bCs/>
          <w:color w:val="163A45"/>
          <w:sz w:val="26"/>
          <w:szCs w:val="26"/>
        </w:rPr>
        <w:t xml:space="preserve">6.7 Patterns &amp; Textures</w:t>
      </w:r>
    </w:p>
    <w:p>
      <w:pPr>
        <w:pStyle w:val="ListParagraph"/>
        <w:numPr>
          <w:ilvl w:val="0"/>
          <w:numId w:val="2"/>
        </w:numPr>
        <w:spacing w:after="80"/>
      </w:pPr>
      <w:r>
        <w:rPr>
          <w:rFonts w:ascii="Inter" w:cs="Inter" w:eastAsia="Inter" w:hAnsi="Inter"/>
          <w:color w:val="3A372F"/>
          <w:sz w:val="21"/>
          <w:szCs w:val="21"/>
        </w:rPr>
        <w:t xml:space="preserve">Subtle dotted-grid texture (low-opacity Trust Ink or Charcoal dots on Cream) used in section backgrounds to nod to structured, organized data — never behind text-heavy content.</w:t>
      </w:r>
    </w:p>
    <w:p>
      <w:pPr>
        <w:pStyle w:val="ListParagraph"/>
        <w:numPr>
          <w:ilvl w:val="0"/>
          <w:numId w:val="2"/>
        </w:numPr>
        <w:spacing w:after="80"/>
      </w:pPr>
      <w:r>
        <w:rPr>
          <w:rFonts w:ascii="Inter" w:cs="Inter" w:eastAsia="Inter" w:hAnsi="Inter"/>
          <w:color w:val="3A372F"/>
          <w:sz w:val="21"/>
          <w:szCs w:val="21"/>
        </w:rPr>
        <w:t xml:space="preserve">No busy geometric patterns, no photographic textures (wood grain, paper) — keep textures minimal and quiet so the content (provider trust signals) stays the focus.</w:t>
      </w:r>
    </w:p>
    <w:p>
      <w:pPr>
        <w:pStyle w:val="Heading2"/>
        <w:spacing w:after="150" w:before="300"/>
      </w:pPr>
      <w:r>
        <w:rPr>
          <w:rFonts w:ascii="Manrope" w:cs="Manrope" w:eastAsia="Manrope" w:hAnsi="Manrope"/>
          <w:b/>
          <w:bCs/>
          <w:color w:val="163A45"/>
          <w:sz w:val="26"/>
          <w:szCs w:val="26"/>
        </w:rPr>
        <w:t xml:space="preserve">6.8 Gradients</w:t>
      </w:r>
    </w:p>
    <w:p>
      <w:pPr>
        <w:spacing w:after="140" w:line="300"/>
      </w:pPr>
      <w:r>
        <w:rPr>
          <w:rFonts w:ascii="Inter" w:cs="Inter" w:eastAsia="Inter" w:hAnsi="Inter"/>
          <w:b w:val="false"/>
          <w:bCs w:val="false"/>
          <w:i w:val="false"/>
          <w:iCs w:val="false"/>
          <w:color w:val="3A372F"/>
          <w:sz w:val="21"/>
          <w:szCs w:val="21"/>
        </w:rPr>
        <w:t xml:space="preserve">Gradients are used minimally and only within the brand palette — e.g., a subtle Trust Ink → Ink Deep gradient on hero banners, or Amber → a slightly deeper amber on primary buttons for depth. Gradients must never cross hue families (no blue-to-green, no amber-to-coral) and must never appear behind body text.</w:t>
      </w:r>
    </w:p>
    <w:p>
      <w:pPr>
        <w:pStyle w:val="Heading2"/>
        <w:spacing w:after="150" w:before="300"/>
      </w:pPr>
      <w:r>
        <w:rPr>
          <w:rFonts w:ascii="Manrope" w:cs="Manrope" w:eastAsia="Manrope" w:hAnsi="Manrope"/>
          <w:b/>
          <w:bCs/>
          <w:color w:val="163A45"/>
          <w:sz w:val="26"/>
          <w:szCs w:val="26"/>
        </w:rPr>
        <w:t xml:space="preserve">6.9 Graphic Elements &amp; Background Assets</w:t>
      </w:r>
    </w:p>
    <w:p>
      <w:pPr>
        <w:pStyle w:val="ListParagraph"/>
        <w:numPr>
          <w:ilvl w:val="0"/>
          <w:numId w:val="2"/>
        </w:numPr>
        <w:spacing w:after="80"/>
      </w:pPr>
      <w:r>
        <w:rPr>
          <w:rFonts w:ascii="Inter" w:cs="Inter" w:eastAsia="Inter" w:hAnsi="Inter"/>
          <w:color w:val="3A372F"/>
          <w:sz w:val="21"/>
          <w:szCs w:val="21"/>
        </w:rPr>
        <w:t xml:space="preserve">Recurring house-shield-checkmark motif for anything “verified,” used as a watermark, section divider ornament, or loading-state animation.</w:t>
      </w:r>
    </w:p>
    <w:p>
      <w:pPr>
        <w:pStyle w:val="ListParagraph"/>
        <w:numPr>
          <w:ilvl w:val="0"/>
          <w:numId w:val="2"/>
        </w:numPr>
        <w:spacing w:after="80"/>
      </w:pPr>
      <w:r>
        <w:rPr>
          <w:rFonts w:ascii="Inter" w:cs="Inter" w:eastAsia="Inter" w:hAnsi="Inter"/>
          <w:color w:val="3A372F"/>
          <w:sz w:val="21"/>
          <w:szCs w:val="21"/>
        </w:rPr>
        <w:t xml:space="preserve">Soft map-pin iconography referencing Bahria Town precincts, used on location pickers and “near you” features.</w:t>
      </w:r>
    </w:p>
    <w:p>
      <w:pPr>
        <w:pStyle w:val="ListParagraph"/>
        <w:numPr>
          <w:ilvl w:val="0"/>
          <w:numId w:val="2"/>
        </w:numPr>
        <w:spacing w:after="80"/>
      </w:pPr>
      <w:r>
        <w:rPr>
          <w:rFonts w:ascii="Inter" w:cs="Inter" w:eastAsia="Inter" w:hAnsi="Inter"/>
          <w:color w:val="3A372F"/>
          <w:sz w:val="21"/>
          <w:szCs w:val="21"/>
        </w:rPr>
        <w:t xml:space="preserve">Rounded profile-card silhouettes used as decorative background shapes on marketing/landing pages (never literal, always abstracted/blurred).</w:t>
      </w:r>
    </w:p>
    <w:p>
      <w:pPr>
        <w:pStyle w:val="ListParagraph"/>
        <w:numPr>
          <w:ilvl w:val="0"/>
          <w:numId w:val="2"/>
        </w:numPr>
        <w:spacing w:after="80"/>
      </w:pPr>
      <w:r>
        <w:rPr>
          <w:rFonts w:ascii="Inter" w:cs="Inter" w:eastAsia="Inter" w:hAnsi="Inter"/>
          <w:color w:val="3A372F"/>
          <w:sz w:val="21"/>
          <w:szCs w:val="21"/>
        </w:rPr>
        <w:t xml:space="preserve">Standard background asset set: Cream solid, dotted-grid-on-Cream, Trust Ink solid (for dark sections), Trust Ink → Ink Deep gradient (for hero banners).</w:t>
      </w:r>
    </w:p>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7. Design Grid &amp; Layout Principles</w:t>
      </w:r>
    </w:p>
    <w:p>
      <w:pPr>
        <w:pStyle w:val="Heading2"/>
        <w:spacing w:after="150" w:before="300"/>
      </w:pPr>
      <w:r>
        <w:rPr>
          <w:rFonts w:ascii="Manrope" w:cs="Manrope" w:eastAsia="Manrope" w:hAnsi="Manrope"/>
          <w:b/>
          <w:bCs/>
          <w:color w:val="163A45"/>
          <w:sz w:val="26"/>
          <w:szCs w:val="26"/>
        </w:rPr>
        <w:t xml:space="preserve">7.1 Grid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50"/>
        <w:gridCol w:w="1900"/>
        <w:gridCol w:w="1700"/>
      </w:tblGrid>
      <w:tr>
        <w:tc>
          <w:tcPr>
            <w:tcW w:type="dxa" w:w="24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Surface</w:t>
            </w:r>
          </w:p>
        </w:tc>
        <w:tc>
          <w:tcPr>
            <w:tcW w:type="dxa" w:w="33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Grid</w:t>
            </w:r>
          </w:p>
        </w:tc>
        <w:tc>
          <w:tcPr>
            <w:tcW w:type="dxa" w:w="19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Margin</w:t>
            </w:r>
          </w:p>
        </w:tc>
        <w:tc>
          <w:tcPr>
            <w:tcW w:type="dxa" w:w="17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Gutter</w:t>
            </w:r>
          </w:p>
        </w:tc>
      </w:tr>
      <w:tr>
        <w:tc>
          <w:tcPr>
            <w:tcW w:type="dxa" w:w="2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Website (desktop)</w:t>
            </w:r>
          </w:p>
        </w:tc>
        <w:tc>
          <w:tcPr>
            <w:tcW w:type="dxa" w:w="33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12-column, 1200px max container</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80px</w:t>
            </w:r>
          </w:p>
        </w:tc>
        <w:tc>
          <w:tcPr>
            <w:tcW w:type="dxa" w:w="17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24px</w:t>
            </w:r>
          </w:p>
        </w:tc>
      </w:tr>
      <w:tr>
        <w:tc>
          <w:tcPr>
            <w:tcW w:type="dxa" w:w="24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Website (tablet)</w:t>
            </w:r>
          </w:p>
        </w:tc>
        <w:tc>
          <w:tcPr>
            <w:tcW w:type="dxa" w:w="33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8-column</w:t>
            </w:r>
          </w:p>
        </w:tc>
        <w:tc>
          <w:tcPr>
            <w:tcW w:type="dxa" w:w="19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40px</w:t>
            </w:r>
          </w:p>
        </w:tc>
        <w:tc>
          <w:tcPr>
            <w:tcW w:type="dxa" w:w="17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20px</w:t>
            </w:r>
          </w:p>
        </w:tc>
      </w:tr>
      <w:tr>
        <w:tc>
          <w:tcPr>
            <w:tcW w:type="dxa" w:w="24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Mobile app / web</w:t>
            </w:r>
          </w:p>
        </w:tc>
        <w:tc>
          <w:tcPr>
            <w:tcW w:type="dxa" w:w="33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4-column</w:t>
            </w:r>
          </w:p>
        </w:tc>
        <w:tc>
          <w:tcPr>
            <w:tcW w:type="dxa" w:w="19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16px</w:t>
            </w:r>
          </w:p>
        </w:tc>
        <w:tc>
          <w:tcPr>
            <w:tcW w:type="dxa" w:w="17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12px</w:t>
            </w:r>
          </w:p>
        </w:tc>
      </w:tr>
      <w:tr>
        <w:tc>
          <w:tcPr>
            <w:tcW w:type="dxa" w:w="24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Social post (1080×1080)</w:t>
            </w:r>
          </w:p>
        </w:tc>
        <w:tc>
          <w:tcPr>
            <w:tcW w:type="dxa" w:w="33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12-column overlay for alignment only</w:t>
            </w:r>
          </w:p>
        </w:tc>
        <w:tc>
          <w:tcPr>
            <w:tcW w:type="dxa" w:w="19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64px</w:t>
            </w:r>
          </w:p>
        </w:tc>
        <w:tc>
          <w:tcPr>
            <w:tcW w:type="dxa" w:w="17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w:t>
            </w:r>
          </w:p>
        </w:tc>
      </w:tr>
    </w:tbl>
    <w:p>
      <w:pPr>
        <w:spacing w:after="200"/>
      </w:pPr>
    </w:p>
    <w:p>
      <w:pPr>
        <w:pStyle w:val="Heading2"/>
        <w:spacing w:after="150" w:before="300"/>
      </w:pPr>
      <w:r>
        <w:rPr>
          <w:rFonts w:ascii="Manrope" w:cs="Manrope" w:eastAsia="Manrope" w:hAnsi="Manrope"/>
          <w:b/>
          <w:bCs/>
          <w:color w:val="163A45"/>
          <w:sz w:val="26"/>
          <w:szCs w:val="26"/>
        </w:rPr>
        <w:t xml:space="preserve">7.2 Layout Principles</w:t>
      </w:r>
    </w:p>
    <w:p>
      <w:pPr>
        <w:pStyle w:val="ListParagraph"/>
        <w:numPr>
          <w:ilvl w:val="0"/>
          <w:numId w:val="2"/>
        </w:numPr>
        <w:spacing w:after="80"/>
      </w:pPr>
      <w:r>
        <w:rPr>
          <w:rFonts w:ascii="Inter" w:cs="Inter" w:eastAsia="Inter" w:hAnsi="Inter"/>
          <w:color w:val="3A372F"/>
          <w:sz w:val="21"/>
          <w:szCs w:val="21"/>
        </w:rPr>
        <w:t xml:space="preserve">Cards are the primary content unit — providers, requests, and services are always presented as rounded cards with consistent internal padding (16px mobile / 24px web).</w:t>
      </w:r>
    </w:p>
    <w:p>
      <w:pPr>
        <w:pStyle w:val="ListParagraph"/>
        <w:numPr>
          <w:ilvl w:val="0"/>
          <w:numId w:val="2"/>
        </w:numPr>
        <w:spacing w:after="80"/>
      </w:pPr>
      <w:r>
        <w:rPr>
          <w:rFonts w:ascii="Inter" w:cs="Inter" w:eastAsia="Inter" w:hAnsi="Inter"/>
          <w:color w:val="3A372F"/>
          <w:sz w:val="21"/>
          <w:szCs w:val="21"/>
        </w:rPr>
        <w:t xml:space="preserve">Trust signals (verified badge, rating, review count) are always positioned top-right or directly beneath the name — never buried below the fold on a card.</w:t>
      </w:r>
    </w:p>
    <w:p>
      <w:pPr>
        <w:pStyle w:val="ListParagraph"/>
        <w:numPr>
          <w:ilvl w:val="0"/>
          <w:numId w:val="2"/>
        </w:numPr>
        <w:spacing w:after="80"/>
      </w:pPr>
      <w:r>
        <w:rPr>
          <w:rFonts w:ascii="Inter" w:cs="Inter" w:eastAsia="Inter" w:hAnsi="Inter"/>
          <w:color w:val="3A372F"/>
          <w:sz w:val="21"/>
          <w:szCs w:val="21"/>
        </w:rPr>
        <w:t xml:space="preserve">Generous white space around CTAs; the Amber “Request Service” button is never crowded by competing elements.</w:t>
      </w:r>
    </w:p>
    <w:p>
      <w:pPr>
        <w:pStyle w:val="ListParagraph"/>
        <w:numPr>
          <w:ilvl w:val="0"/>
          <w:numId w:val="2"/>
        </w:numPr>
        <w:spacing w:after="80"/>
      </w:pPr>
      <w:r>
        <w:rPr>
          <w:rFonts w:ascii="Inter" w:cs="Inter" w:eastAsia="Inter" w:hAnsi="Inter"/>
          <w:color w:val="3A372F"/>
          <w:sz w:val="21"/>
          <w:szCs w:val="21"/>
        </w:rPr>
        <w:t xml:space="preserve">Consistent 8px spacing scale (8/16/24/32/48/64) across all surfaces — no arbitrary spacing values.</w:t>
      </w:r>
    </w:p>
    <w:p>
      <w:pPr>
        <w:pStyle w:val="ListParagraph"/>
        <w:numPr>
          <w:ilvl w:val="0"/>
          <w:numId w:val="2"/>
        </w:numPr>
        <w:spacing w:after="80"/>
      </w:pPr>
      <w:r>
        <w:rPr>
          <w:rFonts w:ascii="Inter" w:cs="Inter" w:eastAsia="Inter" w:hAnsi="Inter"/>
          <w:color w:val="3A372F"/>
          <w:sz w:val="21"/>
          <w:szCs w:val="21"/>
        </w:rPr>
        <w:t xml:space="preserve">Management-facing (admin/verification) screens may use denser tables and multi-column data layouts; resident-facing screens stay single-column and card-based for scannability.</w:t>
      </w:r>
    </w:p>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8. Social Media System</w:t>
      </w:r>
    </w:p>
    <w:p>
      <w:pPr>
        <w:pStyle w:val="Heading2"/>
        <w:spacing w:after="150" w:before="300"/>
      </w:pPr>
      <w:r>
        <w:rPr>
          <w:rFonts w:ascii="Manrope" w:cs="Manrope" w:eastAsia="Manrope" w:hAnsi="Manrope"/>
          <w:b/>
          <w:bCs/>
          <w:color w:val="163A45"/>
          <w:sz w:val="26"/>
          <w:szCs w:val="26"/>
        </w:rPr>
        <w:t xml:space="preserve">8.1 Profile Images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c>
          <w:tcPr>
            <w:tcW w:type="dxa" w:w="26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Platform</w:t>
            </w:r>
          </w:p>
        </w:tc>
        <w:tc>
          <w:tcPr>
            <w:tcW w:type="dxa" w:w="26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Size</w:t>
            </w:r>
          </w:p>
        </w:tc>
        <w:tc>
          <w:tcPr>
            <w:tcW w:type="dxa" w:w="41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Guidance</w:t>
            </w:r>
          </w:p>
        </w:tc>
      </w:tr>
      <w:tr>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Instagram / Facebook</w:t>
            </w:r>
          </w:p>
        </w:tc>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512 × 512px (displays circular)</w:t>
            </w:r>
          </w:p>
        </w:tc>
        <w:tc>
          <w:tcPr>
            <w:tcW w:type="dxa" w:w="41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Icon-only badge, centered, Cream BG or Trust Ink field, min. 15% padding</w:t>
            </w:r>
          </w:p>
        </w:tc>
      </w:tr>
      <w:tr>
        <w:tc>
          <w:tcPr>
            <w:tcW w:type="dxa" w:w="26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LinkedIn (Company)</w:t>
            </w:r>
          </w:p>
        </w:tc>
        <w:tc>
          <w:tcPr>
            <w:tcW w:type="dxa" w:w="26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400 × 400px</w:t>
            </w:r>
          </w:p>
        </w:tc>
        <w:tc>
          <w:tcPr>
            <w:tcW w:type="dxa" w:w="41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Icon-only badge on white or Cream</w:t>
            </w:r>
          </w:p>
        </w:tc>
      </w:tr>
      <w:tr>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X / TikTok / YouTube</w:t>
            </w:r>
          </w:p>
        </w:tc>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800 × 800px</w:t>
            </w:r>
          </w:p>
        </w:tc>
        <w:tc>
          <w:tcPr>
            <w:tcW w:type="dxa" w:w="41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Icon-only badge, high-contrast field</w:t>
            </w:r>
          </w:p>
        </w:tc>
      </w:tr>
    </w:tbl>
    <w:p>
      <w:pPr>
        <w:spacing w:after="200"/>
      </w:pPr>
    </w:p>
    <w:p>
      <w:pPr>
        <w:pStyle w:val="Heading2"/>
        <w:spacing w:after="150" w:before="300"/>
      </w:pPr>
      <w:r>
        <w:rPr>
          <w:rFonts w:ascii="Manrope" w:cs="Manrope" w:eastAsia="Manrope" w:hAnsi="Manrope"/>
          <w:b/>
          <w:bCs/>
          <w:color w:val="163A45"/>
          <w:sz w:val="26"/>
          <w:szCs w:val="26"/>
        </w:rPr>
        <w:t xml:space="preserve">8.2 Cover / Header Images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c>
          <w:tcPr>
            <w:tcW w:type="dxa" w:w="42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Platform</w:t>
            </w:r>
          </w:p>
        </w:tc>
        <w:tc>
          <w:tcPr>
            <w:tcW w:type="dxa" w:w="51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Size</w:t>
            </w:r>
          </w:p>
        </w:tc>
      </w:tr>
      <w:tr>
        <w:tc>
          <w:tcPr>
            <w:tcW w:type="dxa" w:w="42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Facebook Cover</w:t>
            </w:r>
          </w:p>
        </w:tc>
        <w:tc>
          <w:tcPr>
            <w:tcW w:type="dxa" w:w="51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820 × 312px</w:t>
            </w:r>
          </w:p>
        </w:tc>
      </w:tr>
      <w:tr>
        <w:tc>
          <w:tcPr>
            <w:tcW w:type="dxa" w:w="42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LinkedIn Company Banner</w:t>
            </w:r>
          </w:p>
        </w:tc>
        <w:tc>
          <w:tcPr>
            <w:tcW w:type="dxa" w:w="51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1128 × 191px</w:t>
            </w:r>
          </w:p>
        </w:tc>
      </w:tr>
      <w:tr>
        <w:tc>
          <w:tcPr>
            <w:tcW w:type="dxa" w:w="42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X Header</w:t>
            </w:r>
          </w:p>
        </w:tc>
        <w:tc>
          <w:tcPr>
            <w:tcW w:type="dxa" w:w="51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1500 × 500px</w:t>
            </w:r>
          </w:p>
        </w:tc>
      </w:tr>
      <w:tr>
        <w:tc>
          <w:tcPr>
            <w:tcW w:type="dxa" w:w="42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YouTube Channel Art</w:t>
            </w:r>
          </w:p>
        </w:tc>
        <w:tc>
          <w:tcPr>
            <w:tcW w:type="dxa" w:w="51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2560 × 1440px (safe area 1546 × 423px)</w:t>
            </w:r>
          </w:p>
        </w:tc>
      </w:tr>
    </w:tbl>
    <w:p>
      <w:pPr>
        <w:spacing w:after="200"/>
      </w:pPr>
      <w:r>
        <w:rPr>
          <w:rFonts w:ascii="Inter" w:cs="Inter" w:eastAsia="Inter" w:hAnsi="Inter"/>
          <w:i/>
          <w:iCs/>
          <w:color w:val="6B6B63"/>
          <w:sz w:val="18"/>
          <w:szCs w:val="18"/>
        </w:rPr>
        <w:t xml:space="preserve">Cover template: dotted-grid-on-Cream or Trust Ink→Ink Deep gradient background, secondary horizontal logo lockup left- or center-aligned, tagline set in Manrope SemiBold, optional single real-context photograph cropped to the right third.</w:t>
      </w:r>
    </w:p>
    <w:p>
      <w:pPr>
        <w:pStyle w:val="Heading2"/>
        <w:spacing w:after="150" w:before="300"/>
      </w:pPr>
      <w:r>
        <w:rPr>
          <w:rFonts w:ascii="Manrope" w:cs="Manrope" w:eastAsia="Manrope" w:hAnsi="Manrope"/>
          <w:b/>
          <w:bCs/>
          <w:color w:val="163A45"/>
          <w:sz w:val="26"/>
          <w:szCs w:val="26"/>
        </w:rPr>
        <w:t xml:space="preserve">8.3 Post Templates (Feed, 1080 × 1080 / 1080 × 1350)</w:t>
      </w:r>
    </w:p>
    <w:p>
      <w:pPr>
        <w:pStyle w:val="ListParagraph"/>
        <w:numPr>
          <w:ilvl w:val="0"/>
          <w:numId w:val="2"/>
        </w:numPr>
        <w:spacing w:after="80"/>
      </w:pPr>
      <w:r>
        <w:rPr>
          <w:rFonts w:ascii="Inter" w:cs="Inter" w:eastAsia="Inter" w:hAnsi="Inter"/>
          <w:color w:val="3A372F"/>
          <w:sz w:val="21"/>
          <w:szCs w:val="21"/>
        </w:rPr>
        <w:t xml:space="preserve">Template A — Provider Spotlight: full-bleed real-context photo, bottom gradient scrim in Trust Ink, provider name (Manrope Bold, white), Nunito “Verified” badge, star rating, service category tag.</w:t>
      </w:r>
    </w:p>
    <w:p>
      <w:pPr>
        <w:pStyle w:val="ListParagraph"/>
        <w:numPr>
          <w:ilvl w:val="0"/>
          <w:numId w:val="2"/>
        </w:numPr>
        <w:spacing w:after="80"/>
      </w:pPr>
      <w:r>
        <w:rPr>
          <w:rFonts w:ascii="Inter" w:cs="Inter" w:eastAsia="Inter" w:hAnsi="Inter"/>
          <w:color w:val="3A372F"/>
          <w:sz w:val="21"/>
          <w:szCs w:val="21"/>
        </w:rPr>
        <w:t xml:space="preserve">Template B — Trust/Educational Statement: Cream background with dotted-grid texture, centered Manrope Bold statement (max 18 words), small icon illustration, logo lockup bottom-center.</w:t>
      </w:r>
    </w:p>
    <w:p>
      <w:pPr>
        <w:pStyle w:val="ListParagraph"/>
        <w:numPr>
          <w:ilvl w:val="0"/>
          <w:numId w:val="2"/>
        </w:numPr>
        <w:spacing w:after="80"/>
      </w:pPr>
      <w:r>
        <w:rPr>
          <w:rFonts w:ascii="Inter" w:cs="Inter" w:eastAsia="Inter" w:hAnsi="Inter"/>
          <w:color w:val="3A372F"/>
          <w:sz w:val="21"/>
          <w:szCs w:val="21"/>
        </w:rPr>
        <w:t xml:space="preserve">Template C — Stat/Proof Card: Trust Ink background, large Amber statistic (e.g., “500+ Verified Providers”) in Manrope Bold, supporting Inter caption beneath.</w:t>
      </w:r>
    </w:p>
    <w:p>
      <w:pPr>
        <w:pStyle w:val="ListParagraph"/>
        <w:numPr>
          <w:ilvl w:val="0"/>
          <w:numId w:val="2"/>
        </w:numPr>
        <w:spacing w:after="80"/>
      </w:pPr>
      <w:r>
        <w:rPr>
          <w:rFonts w:ascii="Inter" w:cs="Inter" w:eastAsia="Inter" w:hAnsi="Inter"/>
          <w:color w:val="3A372F"/>
          <w:sz w:val="21"/>
          <w:szCs w:val="21"/>
        </w:rPr>
        <w:t xml:space="preserve">Template D — Promo/CTA: Amber or Verified Green background block, bold Manrope headline, Nunito pill button mockup (“Request Service →”), logo bottom-right.</w:t>
      </w:r>
    </w:p>
    <w:p>
      <w:pPr>
        <w:pStyle w:val="Heading2"/>
        <w:spacing w:after="150" w:before="300"/>
      </w:pPr>
      <w:r>
        <w:rPr>
          <w:rFonts w:ascii="Manrope" w:cs="Manrope" w:eastAsia="Manrope" w:hAnsi="Manrope"/>
          <w:b/>
          <w:bCs/>
          <w:color w:val="163A45"/>
          <w:sz w:val="26"/>
          <w:szCs w:val="26"/>
        </w:rPr>
        <w:t xml:space="preserve">8.4 Carousel Templates (1080 × 1350, up to 10 slides)</w:t>
      </w:r>
    </w:p>
    <w:p>
      <w:pPr>
        <w:pStyle w:val="ListParagraph"/>
        <w:numPr>
          <w:ilvl w:val="0"/>
          <w:numId w:val="2"/>
        </w:numPr>
        <w:spacing w:after="80"/>
      </w:pPr>
      <w:r>
        <w:rPr>
          <w:rFonts w:ascii="Inter" w:cs="Inter" w:eastAsia="Inter" w:hAnsi="Inter"/>
          <w:color w:val="3A372F"/>
          <w:sz w:val="21"/>
          <w:szCs w:val="21"/>
        </w:rPr>
        <w:t xml:space="preserve">Slide 1 (Cover): Bold hook headline, single supporting icon/illustration, “swipe” affordance arrow in Amber.</w:t>
      </w:r>
    </w:p>
    <w:p>
      <w:pPr>
        <w:pStyle w:val="ListParagraph"/>
        <w:numPr>
          <w:ilvl w:val="0"/>
          <w:numId w:val="2"/>
        </w:numPr>
        <w:spacing w:after="80"/>
      </w:pPr>
      <w:r>
        <w:rPr>
          <w:rFonts w:ascii="Inter" w:cs="Inter" w:eastAsia="Inter" w:hAnsi="Inter"/>
          <w:color w:val="3A372F"/>
          <w:sz w:val="21"/>
          <w:szCs w:val="21"/>
        </w:rPr>
        <w:t xml:space="preserve">Slides 2–N (Content): consistent header band (Trust Ink, small logo mark + slide number), Inter body copy, one supporting icon or photo per slide.</w:t>
      </w:r>
    </w:p>
    <w:p>
      <w:pPr>
        <w:pStyle w:val="ListParagraph"/>
        <w:numPr>
          <w:ilvl w:val="0"/>
          <w:numId w:val="2"/>
        </w:numPr>
        <w:spacing w:after="80"/>
      </w:pPr>
      <w:r>
        <w:rPr>
          <w:rFonts w:ascii="Inter" w:cs="Inter" w:eastAsia="Inter" w:hAnsi="Inter"/>
          <w:color w:val="3A372F"/>
          <w:sz w:val="21"/>
          <w:szCs w:val="21"/>
        </w:rPr>
        <w:t xml:space="preserve">Final slide (CTA): Amber background, single clear action, logo + tagline lockup.</w:t>
      </w:r>
    </w:p>
    <w:p>
      <w:pPr>
        <w:pStyle w:val="ListParagraph"/>
        <w:numPr>
          <w:ilvl w:val="0"/>
          <w:numId w:val="2"/>
        </w:numPr>
        <w:spacing w:after="80"/>
      </w:pPr>
      <w:r>
        <w:rPr>
          <w:rFonts w:ascii="Inter" w:cs="Inter" w:eastAsia="Inter" w:hAnsi="Inter"/>
          <w:color w:val="3A372F"/>
          <w:sz w:val="21"/>
          <w:szCs w:val="21"/>
        </w:rPr>
        <w:t xml:space="preserve">Consistent 64px margin and top-left slide-count indicator (“1/8”) in Nunito Bold across every carousel.</w:t>
      </w:r>
    </w:p>
    <w:p>
      <w:pPr>
        <w:pStyle w:val="Heading2"/>
        <w:spacing w:after="150" w:before="300"/>
      </w:pPr>
      <w:r>
        <w:rPr>
          <w:rFonts w:ascii="Manrope" w:cs="Manrope" w:eastAsia="Manrope" w:hAnsi="Manrope"/>
          <w:b/>
          <w:bCs/>
          <w:color w:val="163A45"/>
          <w:sz w:val="26"/>
          <w:szCs w:val="26"/>
        </w:rPr>
        <w:t xml:space="preserve">8.5 Story Templates (1080 × 1920)</w:t>
      </w:r>
    </w:p>
    <w:p>
      <w:pPr>
        <w:pStyle w:val="ListParagraph"/>
        <w:numPr>
          <w:ilvl w:val="0"/>
          <w:numId w:val="2"/>
        </w:numPr>
        <w:spacing w:after="80"/>
      </w:pPr>
      <w:r>
        <w:rPr>
          <w:rFonts w:ascii="Inter" w:cs="Inter" w:eastAsia="Inter" w:hAnsi="Inter"/>
          <w:color w:val="3A372F"/>
          <w:sz w:val="21"/>
          <w:szCs w:val="21"/>
        </w:rPr>
        <w:t xml:space="preserve">Safe zone: keep all critical text/logo within the center 1080 × 1420px area to avoid platform UI overlap (top 250px and bottom 250px reserved).</w:t>
      </w:r>
    </w:p>
    <w:p>
      <w:pPr>
        <w:pStyle w:val="ListParagraph"/>
        <w:numPr>
          <w:ilvl w:val="0"/>
          <w:numId w:val="2"/>
        </w:numPr>
        <w:spacing w:after="80"/>
      </w:pPr>
      <w:r>
        <w:rPr>
          <w:rFonts w:ascii="Inter" w:cs="Inter" w:eastAsia="Inter" w:hAnsi="Inter"/>
          <w:color w:val="3A372F"/>
          <w:sz w:val="21"/>
          <w:szCs w:val="21"/>
        </w:rPr>
        <w:t xml:space="preserve">Template A — Quick Tip: Cream background, dotted-grid texture, single Manrope Bold statement, icon-only logo bottom-center.</w:t>
      </w:r>
    </w:p>
    <w:p>
      <w:pPr>
        <w:pStyle w:val="ListParagraph"/>
        <w:numPr>
          <w:ilvl w:val="0"/>
          <w:numId w:val="2"/>
        </w:numPr>
        <w:spacing w:after="80"/>
      </w:pPr>
      <w:r>
        <w:rPr>
          <w:rFonts w:ascii="Inter" w:cs="Inter" w:eastAsia="Inter" w:hAnsi="Inter"/>
          <w:color w:val="3A372F"/>
          <w:sz w:val="21"/>
          <w:szCs w:val="21"/>
        </w:rPr>
        <w:t xml:space="preserve">Template B — Behind the Verification: photo of a verification moment (ID check, badge issuance) with a bottom Trust Ink card summarizing the step.</w:t>
      </w:r>
    </w:p>
    <w:p>
      <w:pPr>
        <w:pStyle w:val="ListParagraph"/>
        <w:numPr>
          <w:ilvl w:val="0"/>
          <w:numId w:val="2"/>
        </w:numPr>
        <w:spacing w:after="80"/>
      </w:pPr>
      <w:r>
        <w:rPr>
          <w:rFonts w:ascii="Inter" w:cs="Inter" w:eastAsia="Inter" w:hAnsi="Inter"/>
          <w:color w:val="3A372F"/>
          <w:sz w:val="21"/>
          <w:szCs w:val="21"/>
        </w:rPr>
        <w:t xml:space="preserve">Template C — Poll/Question sticker layouts: reserve center-third for native platform stickers; keep brand elements to header (logo) and footer (tagline) only.</w:t>
      </w:r>
    </w:p>
    <w:p>
      <w:pPr>
        <w:pStyle w:val="Heading2"/>
        <w:spacing w:after="150" w:before="300"/>
      </w:pPr>
      <w:r>
        <w:rPr>
          <w:rFonts w:ascii="Manrope" w:cs="Manrope" w:eastAsia="Manrope" w:hAnsi="Manrope"/>
          <w:b/>
          <w:bCs/>
          <w:color w:val="163A45"/>
          <w:sz w:val="26"/>
          <w:szCs w:val="26"/>
        </w:rPr>
        <w:t xml:space="preserve">8.6 Reel Covers (1080 × 1920, static frame)</w:t>
      </w:r>
    </w:p>
    <w:p>
      <w:pPr>
        <w:pStyle w:val="ListParagraph"/>
        <w:numPr>
          <w:ilvl w:val="0"/>
          <w:numId w:val="2"/>
        </w:numPr>
        <w:spacing w:after="80"/>
      </w:pPr>
      <w:r>
        <w:rPr>
          <w:rFonts w:ascii="Inter" w:cs="Inter" w:eastAsia="Inter" w:hAnsi="Inter"/>
          <w:color w:val="3A372F"/>
          <w:sz w:val="21"/>
          <w:szCs w:val="21"/>
        </w:rPr>
        <w:t xml:space="preserve">Bottom-third Trust Ink solid or gradient band containing the video title in Manrope Bold, white, max 2 lines.</w:t>
      </w:r>
    </w:p>
    <w:p>
      <w:pPr>
        <w:pStyle w:val="ListParagraph"/>
        <w:numPr>
          <w:ilvl w:val="0"/>
          <w:numId w:val="2"/>
        </w:numPr>
        <w:spacing w:after="80"/>
      </w:pPr>
      <w:r>
        <w:rPr>
          <w:rFonts w:ascii="Inter" w:cs="Inter" w:eastAsia="Inter" w:hAnsi="Inter"/>
          <w:color w:val="3A372F"/>
          <w:sz w:val="21"/>
          <w:szCs w:val="21"/>
        </w:rPr>
        <w:t xml:space="preserve">Small icon-only logo badge top-left, consistent across every reel cover for feed recognizability.</w:t>
      </w:r>
    </w:p>
    <w:p>
      <w:pPr>
        <w:pStyle w:val="ListParagraph"/>
        <w:numPr>
          <w:ilvl w:val="0"/>
          <w:numId w:val="2"/>
        </w:numPr>
        <w:spacing w:after="80"/>
      </w:pPr>
      <w:r>
        <w:rPr>
          <w:rFonts w:ascii="Inter" w:cs="Inter" w:eastAsia="Inter" w:hAnsi="Inter"/>
          <w:color w:val="3A372F"/>
          <w:sz w:val="21"/>
          <w:szCs w:val="21"/>
        </w:rPr>
        <w:t xml:space="preserve">Thumbnail-safe: title text must remain legible at 120px width (feed grid preview size).</w:t>
      </w:r>
    </w:p>
    <w:p>
      <w:pPr>
        <w:pStyle w:val="Heading2"/>
        <w:spacing w:after="150" w:before="300"/>
      </w:pPr>
      <w:r>
        <w:rPr>
          <w:rFonts w:ascii="Manrope" w:cs="Manrope" w:eastAsia="Manrope" w:hAnsi="Manrope"/>
          <w:b/>
          <w:bCs/>
          <w:color w:val="163A45"/>
          <w:sz w:val="26"/>
          <w:szCs w:val="26"/>
        </w:rPr>
        <w:t xml:space="preserve">8.7 Thumbnail Templates (YouTube 1280 × 720 / Blog 1200 × 630)</w:t>
      </w:r>
    </w:p>
    <w:p>
      <w:pPr>
        <w:pStyle w:val="ListParagraph"/>
        <w:numPr>
          <w:ilvl w:val="0"/>
          <w:numId w:val="2"/>
        </w:numPr>
        <w:spacing w:after="80"/>
      </w:pPr>
      <w:r>
        <w:rPr>
          <w:rFonts w:ascii="Inter" w:cs="Inter" w:eastAsia="Inter" w:hAnsi="Inter"/>
          <w:color w:val="3A372F"/>
          <w:sz w:val="21"/>
          <w:szCs w:val="21"/>
        </w:rPr>
        <w:t xml:space="preserve">Left 60%: real-context photo or provider portrait. Right 40%: Trust Ink solid panel with Manrope Bold headline (max 6 words) in white and Amber keyword highlight.</w:t>
      </w:r>
    </w:p>
    <w:p>
      <w:pPr>
        <w:pStyle w:val="ListParagraph"/>
        <w:numPr>
          <w:ilvl w:val="0"/>
          <w:numId w:val="2"/>
        </w:numPr>
        <w:spacing w:after="80"/>
      </w:pPr>
      <w:r>
        <w:rPr>
          <w:rFonts w:ascii="Inter" w:cs="Inter" w:eastAsia="Inter" w:hAnsi="Inter"/>
          <w:color w:val="3A372F"/>
          <w:sz w:val="21"/>
          <w:szCs w:val="21"/>
        </w:rPr>
        <w:t xml:space="preserve">Icon-only logo badge bottom-right corner, 64px, consistent placement across all thumbnails.</w:t>
      </w:r>
    </w:p>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9. Brand Collateral &amp; Templates</w:t>
      </w:r>
    </w:p>
    <w:p>
      <w:pPr>
        <w:pStyle w:val="Heading2"/>
        <w:spacing w:after="150" w:before="300"/>
      </w:pPr>
      <w:r>
        <w:rPr>
          <w:rFonts w:ascii="Manrope" w:cs="Manrope" w:eastAsia="Manrope" w:hAnsi="Manrope"/>
          <w:b/>
          <w:bCs/>
          <w:color w:val="163A45"/>
          <w:sz w:val="26"/>
          <w:szCs w:val="26"/>
        </w:rPr>
        <w:t xml:space="preserve">9.1 Presentation Template (16:9)</w:t>
      </w:r>
    </w:p>
    <w:p>
      <w:pPr>
        <w:pStyle w:val="ListParagraph"/>
        <w:numPr>
          <w:ilvl w:val="0"/>
          <w:numId w:val="2"/>
        </w:numPr>
        <w:spacing w:after="80"/>
      </w:pPr>
      <w:r>
        <w:rPr>
          <w:rFonts w:ascii="Inter" w:cs="Inter" w:eastAsia="Inter" w:hAnsi="Inter"/>
          <w:color w:val="3A372F"/>
          <w:sz w:val="21"/>
          <w:szCs w:val="21"/>
        </w:rPr>
        <w:t xml:space="preserve">Title slide: Cream or Trust Ink background, full primary logo lockup, Manrope Bold deck title, Inter subtitle/date.</w:t>
      </w:r>
    </w:p>
    <w:p>
      <w:pPr>
        <w:pStyle w:val="ListParagraph"/>
        <w:numPr>
          <w:ilvl w:val="0"/>
          <w:numId w:val="2"/>
        </w:numPr>
        <w:spacing w:after="80"/>
      </w:pPr>
      <w:r>
        <w:rPr>
          <w:rFonts w:ascii="Inter" w:cs="Inter" w:eastAsia="Inter" w:hAnsi="Inter"/>
          <w:color w:val="3A372F"/>
          <w:sz w:val="21"/>
          <w:szCs w:val="21"/>
        </w:rPr>
        <w:t xml:space="preserve">Section divider slides: Trust Ink solid background, Amber slide-number tab, Manrope Bold section title, white text.</w:t>
      </w:r>
    </w:p>
    <w:p>
      <w:pPr>
        <w:pStyle w:val="ListParagraph"/>
        <w:numPr>
          <w:ilvl w:val="0"/>
          <w:numId w:val="2"/>
        </w:numPr>
        <w:spacing w:after="80"/>
      </w:pPr>
      <w:r>
        <w:rPr>
          <w:rFonts w:ascii="Inter" w:cs="Inter" w:eastAsia="Inter" w:hAnsi="Inter"/>
          <w:color w:val="3A372F"/>
          <w:sz w:val="21"/>
          <w:szCs w:val="21"/>
        </w:rPr>
        <w:t xml:space="preserve">Content slides: Cream background, Manrope SemiBold slide title (top, 32px), 12-column content grid, Inter body/bullets, Fog Gray divider rules, footer with icon mark + page number.</w:t>
      </w:r>
    </w:p>
    <w:p>
      <w:pPr>
        <w:pStyle w:val="ListParagraph"/>
        <w:numPr>
          <w:ilvl w:val="0"/>
          <w:numId w:val="2"/>
        </w:numPr>
        <w:spacing w:after="80"/>
      </w:pPr>
      <w:r>
        <w:rPr>
          <w:rFonts w:ascii="Inter" w:cs="Inter" w:eastAsia="Inter" w:hAnsi="Inter"/>
          <w:color w:val="3A372F"/>
          <w:sz w:val="21"/>
          <w:szCs w:val="21"/>
        </w:rPr>
        <w:t xml:space="preserve">Data slides: charts use the primary/secondary palette in fixed order (Trust Ink → Verified Green → Amber → Sky → Coral) so recurring metrics always map to the same color.</w:t>
      </w:r>
    </w:p>
    <w:p>
      <w:pPr>
        <w:pStyle w:val="ListParagraph"/>
        <w:numPr>
          <w:ilvl w:val="0"/>
          <w:numId w:val="2"/>
        </w:numPr>
        <w:spacing w:after="80"/>
      </w:pPr>
      <w:r>
        <w:rPr>
          <w:rFonts w:ascii="Inter" w:cs="Inter" w:eastAsia="Inter" w:hAnsi="Inter"/>
          <w:color w:val="3A372F"/>
          <w:sz w:val="21"/>
          <w:szCs w:val="21"/>
        </w:rPr>
        <w:t xml:space="preserve">Closing slide: Trust Ink background, tagline centered in Manrope Bold, contact details in Inter.</w:t>
      </w:r>
    </w:p>
    <w:p>
      <w:pPr>
        <w:pStyle w:val="Heading2"/>
        <w:spacing w:after="150" w:before="300"/>
      </w:pPr>
      <w:r>
        <w:rPr>
          <w:rFonts w:ascii="Manrope" w:cs="Manrope" w:eastAsia="Manrope" w:hAnsi="Manrope"/>
          <w:b/>
          <w:bCs/>
          <w:color w:val="163A45"/>
          <w:sz w:val="26"/>
          <w:szCs w:val="26"/>
        </w:rPr>
        <w:t xml:space="preserve">9.2 Business 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Element</w:t>
            </w:r>
          </w:p>
        </w:tc>
        <w:tc>
          <w:tcPr>
            <w:tcW w:type="dxa" w:w="71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Specification</w:t>
            </w:r>
          </w:p>
        </w:tc>
      </w:tr>
      <w:tr>
        <w:tc>
          <w:tcPr>
            <w:tcW w:type="dxa" w:w="22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Size</w:t>
            </w:r>
          </w:p>
        </w:tc>
        <w:tc>
          <w:tcPr>
            <w:tcW w:type="dxa" w:w="71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3.5 × 2 in (89 × 51 mm), 3mm bleed</w:t>
            </w:r>
          </w:p>
        </w:tc>
      </w:tr>
      <w:tr>
        <w:tc>
          <w:tcPr>
            <w:tcW w:type="dxa" w:w="22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Front</w:t>
            </w:r>
          </w:p>
        </w:tc>
        <w:tc>
          <w:tcPr>
            <w:tcW w:type="dxa" w:w="71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Cream BG, icon-only logo badge top-left, name in Manrope Bold, title in Inter Regular, Charcoal text</w:t>
            </w:r>
          </w:p>
        </w:tc>
      </w:tr>
      <w:tr>
        <w:tc>
          <w:tcPr>
            <w:tcW w:type="dxa" w:w="22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Back</w:t>
            </w:r>
          </w:p>
        </w:tc>
        <w:tc>
          <w:tcPr>
            <w:tcW w:type="dxa" w:w="71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Trust Ink solid, full primary logo centered, tagline beneath in white Manrope SemiBold</w:t>
            </w:r>
          </w:p>
        </w:tc>
      </w:tr>
      <w:tr>
        <w:tc>
          <w:tcPr>
            <w:tcW w:type="dxa" w:w="22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Contact block</w:t>
            </w:r>
          </w:p>
        </w:tc>
        <w:tc>
          <w:tcPr>
            <w:tcW w:type="dxa" w:w="71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Inter Regular, Slate Gray, includes phone / email / bahriaconnect.com, Amber small icon set (phone, mail, globe)</w:t>
            </w:r>
          </w:p>
        </w:tc>
      </w:tr>
      <w:tr>
        <w:tc>
          <w:tcPr>
            <w:tcW w:type="dxa" w:w="22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Finish</w:t>
            </w:r>
          </w:p>
        </w:tc>
        <w:tc>
          <w:tcPr>
            <w:tcW w:type="dxa" w:w="71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Matte stock preferred; spot-UV or foil on the icon only for premium runs</w:t>
            </w:r>
          </w:p>
        </w:tc>
      </w:tr>
    </w:tbl>
    <w:p>
      <w:pPr>
        <w:spacing w:after="200"/>
      </w:pPr>
    </w:p>
    <w:p>
      <w:pPr>
        <w:pStyle w:val="Heading2"/>
        <w:spacing w:after="150" w:before="300"/>
      </w:pPr>
      <w:r>
        <w:rPr>
          <w:rFonts w:ascii="Manrope" w:cs="Manrope" w:eastAsia="Manrope" w:hAnsi="Manrope"/>
          <w:b/>
          <w:bCs/>
          <w:color w:val="163A45"/>
          <w:sz w:val="26"/>
          <w:szCs w:val="26"/>
        </w:rPr>
        <w:t xml:space="preserve">9.3 Letterhead</w:t>
      </w:r>
    </w:p>
    <w:p>
      <w:pPr>
        <w:pStyle w:val="ListParagraph"/>
        <w:numPr>
          <w:ilvl w:val="0"/>
          <w:numId w:val="2"/>
        </w:numPr>
        <w:spacing w:after="80"/>
      </w:pPr>
      <w:r>
        <w:rPr>
          <w:rFonts w:ascii="Inter" w:cs="Inter" w:eastAsia="Inter" w:hAnsi="Inter"/>
          <w:color w:val="3A372F"/>
          <w:sz w:val="21"/>
          <w:szCs w:val="21"/>
        </w:rPr>
        <w:t xml:space="preserve">A4 / US Letter, secondary horizontal logo top-left (max 180px wide), address block top-right in Inter Regular, Slate Gray.</w:t>
      </w:r>
    </w:p>
    <w:p>
      <w:pPr>
        <w:pStyle w:val="ListParagraph"/>
        <w:numPr>
          <w:ilvl w:val="0"/>
          <w:numId w:val="2"/>
        </w:numPr>
        <w:spacing w:after="80"/>
      </w:pPr>
      <w:r>
        <w:rPr>
          <w:rFonts w:ascii="Inter" w:cs="Inter" w:eastAsia="Inter" w:hAnsi="Inter"/>
          <w:color w:val="3A372F"/>
          <w:sz w:val="21"/>
          <w:szCs w:val="21"/>
        </w:rPr>
        <w:t xml:space="preserve">Thin 2px Amber rule beneath the header spanning the content width.</w:t>
      </w:r>
    </w:p>
    <w:p>
      <w:pPr>
        <w:pStyle w:val="ListParagraph"/>
        <w:numPr>
          <w:ilvl w:val="0"/>
          <w:numId w:val="2"/>
        </w:numPr>
        <w:spacing w:after="80"/>
      </w:pPr>
      <w:r>
        <w:rPr>
          <w:rFonts w:ascii="Inter" w:cs="Inter" w:eastAsia="Inter" w:hAnsi="Inter"/>
          <w:color w:val="3A372F"/>
          <w:sz w:val="21"/>
          <w:szCs w:val="21"/>
        </w:rPr>
        <w:t xml:space="preserve">Footer: dotted-grid texture strip (low opacity), company registration/contact info centered, Inter 9pt.</w:t>
      </w:r>
    </w:p>
    <w:p>
      <w:pPr>
        <w:pStyle w:val="ListParagraph"/>
        <w:numPr>
          <w:ilvl w:val="0"/>
          <w:numId w:val="2"/>
        </w:numPr>
        <w:spacing w:after="80"/>
      </w:pPr>
      <w:r>
        <w:rPr>
          <w:rFonts w:ascii="Inter" w:cs="Inter" w:eastAsia="Inter" w:hAnsi="Inter"/>
          <w:color w:val="3A372F"/>
          <w:sz w:val="21"/>
          <w:szCs w:val="21"/>
        </w:rPr>
        <w:t xml:space="preserve">Body copy: Inter Regular 11pt, Charcoal, 1.5 line height, 1-inch margins all sides.</w:t>
      </w:r>
    </w:p>
    <w:p>
      <w:pPr>
        <w:pStyle w:val="Heading2"/>
        <w:spacing w:after="150" w:before="300"/>
      </w:pPr>
      <w:r>
        <w:rPr>
          <w:rFonts w:ascii="Manrope" w:cs="Manrope" w:eastAsia="Manrope" w:hAnsi="Manrope"/>
          <w:b/>
          <w:bCs/>
          <w:color w:val="163A45"/>
          <w:sz w:val="26"/>
          <w:szCs w:val="26"/>
        </w:rPr>
        <w:t xml:space="preserve">9.4 Email Signature</w:t>
      </w:r>
    </w:p>
    <w:p>
      <w:pPr>
        <w:pStyle w:val="ListParagraph"/>
        <w:numPr>
          <w:ilvl w:val="0"/>
          <w:numId w:val="2"/>
        </w:numPr>
        <w:spacing w:after="80"/>
      </w:pPr>
      <w:r>
        <w:rPr>
          <w:rFonts w:ascii="Inter" w:cs="Inter" w:eastAsia="Inter" w:hAnsi="Inter"/>
          <w:color w:val="3A372F"/>
          <w:sz w:val="21"/>
          <w:szCs w:val="21"/>
        </w:rPr>
        <w:t xml:space="preserve">Layout: icon-only logo badge (48px) left, vertical Fog Gray divider, right column with Name (Manrope SemiBold, Trust Ink), Title (Inter Regular, Slate Gray), contact links (Inter Regular, Trust Ink, underlined on hover).</w:t>
      </w:r>
    </w:p>
    <w:p>
      <w:pPr>
        <w:pStyle w:val="ListParagraph"/>
        <w:numPr>
          <w:ilvl w:val="0"/>
          <w:numId w:val="2"/>
        </w:numPr>
        <w:spacing w:after="80"/>
      </w:pPr>
      <w:r>
        <w:rPr>
          <w:rFonts w:ascii="Inter" w:cs="Inter" w:eastAsia="Inter" w:hAnsi="Inter"/>
          <w:color w:val="3A372F"/>
          <w:sz w:val="21"/>
          <w:szCs w:val="21"/>
        </w:rPr>
        <w:t xml:space="preserve">Optional footer line: tagline in italics, Slate Gray, 11px — “Verified help, right in your community.”</w:t>
      </w:r>
    </w:p>
    <w:p>
      <w:pPr>
        <w:pStyle w:val="ListParagraph"/>
        <w:numPr>
          <w:ilvl w:val="0"/>
          <w:numId w:val="2"/>
        </w:numPr>
        <w:spacing w:after="80"/>
      </w:pPr>
      <w:r>
        <w:rPr>
          <w:rFonts w:ascii="Inter" w:cs="Inter" w:eastAsia="Inter" w:hAnsi="Inter"/>
          <w:color w:val="3A372F"/>
          <w:sz w:val="21"/>
          <w:szCs w:val="21"/>
        </w:rPr>
        <w:t xml:space="preserve">No animated GIFs, no promotional banners; a single small “Verified Platform” Nunito badge is permitted after the tagline.</w:t>
      </w:r>
    </w:p>
    <w:p>
      <w:pPr>
        <w:pStyle w:val="Heading2"/>
        <w:spacing w:after="150" w:before="300"/>
      </w:pPr>
      <w:r>
        <w:rPr>
          <w:rFonts w:ascii="Manrope" w:cs="Manrope" w:eastAsia="Manrope" w:hAnsi="Manrope"/>
          <w:b/>
          <w:bCs/>
          <w:color w:val="163A45"/>
          <w:sz w:val="26"/>
          <w:szCs w:val="26"/>
        </w:rPr>
        <w:t xml:space="preserve">9.5 Proposal Template</w:t>
      </w:r>
    </w:p>
    <w:p>
      <w:pPr>
        <w:pStyle w:val="ListParagraph"/>
        <w:numPr>
          <w:ilvl w:val="0"/>
          <w:numId w:val="2"/>
        </w:numPr>
        <w:spacing w:after="80"/>
      </w:pPr>
      <w:r>
        <w:rPr>
          <w:rFonts w:ascii="Inter" w:cs="Inter" w:eastAsia="Inter" w:hAnsi="Inter"/>
          <w:color w:val="3A372F"/>
          <w:sz w:val="21"/>
          <w:szCs w:val="21"/>
        </w:rPr>
        <w:t xml:space="preserve">Cover page mirrors the presentation title slide (full logo, project name, date, prepared-for line).</w:t>
      </w:r>
    </w:p>
    <w:p>
      <w:pPr>
        <w:pStyle w:val="ListParagraph"/>
        <w:numPr>
          <w:ilvl w:val="0"/>
          <w:numId w:val="2"/>
        </w:numPr>
        <w:spacing w:after="80"/>
      </w:pPr>
      <w:r>
        <w:rPr>
          <w:rFonts w:ascii="Inter" w:cs="Inter" w:eastAsia="Inter" w:hAnsi="Inter"/>
          <w:color w:val="3A372F"/>
          <w:sz w:val="21"/>
          <w:szCs w:val="21"/>
        </w:rPr>
        <w:t xml:space="preserve">Section headers use the H1 style from 3.2 with the Amber bottom border.</w:t>
      </w:r>
    </w:p>
    <w:p>
      <w:pPr>
        <w:pStyle w:val="ListParagraph"/>
        <w:numPr>
          <w:ilvl w:val="0"/>
          <w:numId w:val="2"/>
        </w:numPr>
        <w:spacing w:after="80"/>
      </w:pPr>
      <w:r>
        <w:rPr>
          <w:rFonts w:ascii="Inter" w:cs="Inter" w:eastAsia="Inter" w:hAnsi="Inter"/>
          <w:color w:val="3A372F"/>
          <w:sz w:val="21"/>
          <w:szCs w:val="21"/>
        </w:rPr>
        <w:t xml:space="preserve">Pricing/scope tables follow the specTable style used throughout this guide: dark Trust Ink header row, alternating Cream/White body rows.</w:t>
      </w:r>
    </w:p>
    <w:p>
      <w:pPr>
        <w:pStyle w:val="ListParagraph"/>
        <w:numPr>
          <w:ilvl w:val="0"/>
          <w:numId w:val="2"/>
        </w:numPr>
        <w:spacing w:after="80"/>
      </w:pPr>
      <w:r>
        <w:rPr>
          <w:rFonts w:ascii="Inter" w:cs="Inter" w:eastAsia="Inter" w:hAnsi="Inter"/>
          <w:color w:val="3A372F"/>
          <w:sz w:val="21"/>
          <w:szCs w:val="21"/>
        </w:rPr>
        <w:t xml:space="preserve">Signature block: two-column (Client / BahriaConnect), Fog Gray rule above, Inter Regular fields.</w:t>
      </w:r>
    </w:p>
    <w:p>
      <w:pPr>
        <w:pStyle w:val="Heading2"/>
        <w:spacing w:after="150" w:before="300"/>
      </w:pPr>
      <w:r>
        <w:rPr>
          <w:rFonts w:ascii="Manrope" w:cs="Manrope" w:eastAsia="Manrope" w:hAnsi="Manrope"/>
          <w:b/>
          <w:bCs/>
          <w:color w:val="163A45"/>
          <w:sz w:val="26"/>
          <w:szCs w:val="26"/>
        </w:rPr>
        <w:t xml:space="preserve">9.6 Certificate Template (Provider Verification Certificate)</w:t>
      </w:r>
    </w:p>
    <w:p>
      <w:pPr>
        <w:pStyle w:val="ListParagraph"/>
        <w:numPr>
          <w:ilvl w:val="0"/>
          <w:numId w:val="2"/>
        </w:numPr>
        <w:spacing w:after="80"/>
      </w:pPr>
      <w:r>
        <w:rPr>
          <w:rFonts w:ascii="Inter" w:cs="Inter" w:eastAsia="Inter" w:hAnsi="Inter"/>
          <w:color w:val="3A372F"/>
          <w:sz w:val="21"/>
          <w:szCs w:val="21"/>
        </w:rPr>
        <w:t xml:space="preserve">Landscape orientation, Cream background with a thin double-rule border in Trust Ink and an inner Amber hairline.</w:t>
      </w:r>
    </w:p>
    <w:p>
      <w:pPr>
        <w:pStyle w:val="ListParagraph"/>
        <w:numPr>
          <w:ilvl w:val="0"/>
          <w:numId w:val="2"/>
        </w:numPr>
        <w:spacing w:after="80"/>
      </w:pPr>
      <w:r>
        <w:rPr>
          <w:rFonts w:ascii="Inter" w:cs="Inter" w:eastAsia="Inter" w:hAnsi="Inter"/>
          <w:color w:val="3A372F"/>
          <w:sz w:val="21"/>
          <w:szCs w:val="21"/>
        </w:rPr>
        <w:t xml:space="preserve">Full primary logo centered top; “Certificate of Verification” in Manrope Bold, large, centered.</w:t>
      </w:r>
    </w:p>
    <w:p>
      <w:pPr>
        <w:pStyle w:val="ListParagraph"/>
        <w:numPr>
          <w:ilvl w:val="0"/>
          <w:numId w:val="2"/>
        </w:numPr>
        <w:spacing w:after="80"/>
      </w:pPr>
      <w:r>
        <w:rPr>
          <w:rFonts w:ascii="Inter" w:cs="Inter" w:eastAsia="Inter" w:hAnsi="Inter"/>
          <w:color w:val="3A372F"/>
          <w:sz w:val="21"/>
          <w:szCs w:val="21"/>
        </w:rPr>
        <w:t xml:space="preserve">Provider name set large in Manrope SemiBold; service category, verification date, and certificate ID in Inter Regular beneath.</w:t>
      </w:r>
    </w:p>
    <w:p>
      <w:pPr>
        <w:pStyle w:val="ListParagraph"/>
        <w:numPr>
          <w:ilvl w:val="0"/>
          <w:numId w:val="2"/>
        </w:numPr>
        <w:spacing w:after="80"/>
      </w:pPr>
      <w:r>
        <w:rPr>
          <w:rFonts w:ascii="Inter" w:cs="Inter" w:eastAsia="Inter" w:hAnsi="Inter"/>
          <w:color w:val="3A372F"/>
          <w:sz w:val="21"/>
          <w:szCs w:val="21"/>
        </w:rPr>
        <w:t xml:space="preserve">Verified Green house-shield-checkmark watermark centered behind the text at 6% opacity.</w:t>
      </w:r>
    </w:p>
    <w:p>
      <w:pPr>
        <w:pStyle w:val="ListParagraph"/>
        <w:numPr>
          <w:ilvl w:val="0"/>
          <w:numId w:val="2"/>
        </w:numPr>
        <w:spacing w:after="80"/>
      </w:pPr>
      <w:r>
        <w:rPr>
          <w:rFonts w:ascii="Inter" w:cs="Inter" w:eastAsia="Inter" w:hAnsi="Inter"/>
          <w:color w:val="3A372F"/>
          <w:sz w:val="21"/>
          <w:szCs w:val="21"/>
        </w:rPr>
        <w:t xml:space="preserve">Signature line for management representative bottom-left; QR code (linking to the live provider profile for authenticity checks) bottom-right.</w:t>
      </w:r>
    </w:p>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10. Digital UI Guidelines (Website &amp; Mobile App)</w:t>
      </w:r>
    </w:p>
    <w:p>
      <w:pPr>
        <w:pStyle w:val="Heading2"/>
        <w:spacing w:after="150" w:before="300"/>
      </w:pPr>
      <w:r>
        <w:rPr>
          <w:rFonts w:ascii="Manrope" w:cs="Manrope" w:eastAsia="Manrope" w:hAnsi="Manrope"/>
          <w:b/>
          <w:bCs/>
          <w:color w:val="163A45"/>
          <w:sz w:val="26"/>
          <w:szCs w:val="26"/>
        </w:rPr>
        <w:t xml:space="preserve">10.1 Foundational UI Principles</w:t>
      </w:r>
    </w:p>
    <w:p>
      <w:pPr>
        <w:pStyle w:val="ListParagraph"/>
        <w:numPr>
          <w:ilvl w:val="0"/>
          <w:numId w:val="2"/>
        </w:numPr>
        <w:spacing w:after="80"/>
      </w:pPr>
      <w:r>
        <w:rPr>
          <w:rFonts w:ascii="Inter" w:cs="Inter" w:eastAsia="Inter" w:hAnsi="Inter"/>
          <w:color w:val="3A372F"/>
          <w:sz w:val="21"/>
          <w:szCs w:val="21"/>
        </w:rPr>
        <w:t xml:space="preserve">Every screen answers one question first: “Can I trust this provider?” — verification status is never more than one glance away.</w:t>
      </w:r>
    </w:p>
    <w:p>
      <w:pPr>
        <w:pStyle w:val="ListParagraph"/>
        <w:numPr>
          <w:ilvl w:val="0"/>
          <w:numId w:val="2"/>
        </w:numPr>
        <w:spacing w:after="80"/>
      </w:pPr>
      <w:r>
        <w:rPr>
          <w:rFonts w:ascii="Inter" w:cs="Inter" w:eastAsia="Inter" w:hAnsi="Inter"/>
          <w:color w:val="3A372F"/>
          <w:sz w:val="21"/>
          <w:szCs w:val="21"/>
        </w:rPr>
        <w:t xml:space="preserve">Resident-facing surfaces: card-based, single-column, generous spacing, Amber CTA always visible without scrolling on key actions.</w:t>
      </w:r>
    </w:p>
    <w:p>
      <w:pPr>
        <w:pStyle w:val="ListParagraph"/>
        <w:numPr>
          <w:ilvl w:val="0"/>
          <w:numId w:val="2"/>
        </w:numPr>
        <w:spacing w:after="80"/>
      </w:pPr>
      <w:r>
        <w:rPr>
          <w:rFonts w:ascii="Inter" w:cs="Inter" w:eastAsia="Inter" w:hAnsi="Inter"/>
          <w:color w:val="3A372F"/>
          <w:sz w:val="21"/>
          <w:szCs w:val="21"/>
        </w:rPr>
        <w:t xml:space="preserve">Management-facing surfaces: denser, table/grid based, precise and professional tone per 1.8.</w:t>
      </w:r>
    </w:p>
    <w:p>
      <w:pPr>
        <w:pStyle w:val="ListParagraph"/>
        <w:numPr>
          <w:ilvl w:val="0"/>
          <w:numId w:val="2"/>
        </w:numPr>
        <w:spacing w:after="80"/>
      </w:pPr>
      <w:r>
        <w:rPr>
          <w:rFonts w:ascii="Inter" w:cs="Inter" w:eastAsia="Inter" w:hAnsi="Inter"/>
          <w:color w:val="3A372F"/>
          <w:sz w:val="21"/>
          <w:szCs w:val="21"/>
        </w:rPr>
        <w:t xml:space="preserve">8px spacing scale and 12px/16px corner radius system used consistently (see 7.2).</w:t>
      </w:r>
    </w:p>
    <w:p>
      <w:pPr>
        <w:pStyle w:val="Heading2"/>
        <w:spacing w:after="150" w:before="300"/>
      </w:pPr>
      <w:r>
        <w:rPr>
          <w:rFonts w:ascii="Manrope" w:cs="Manrope" w:eastAsia="Manrope" w:hAnsi="Manrope"/>
          <w:b/>
          <w:bCs/>
          <w:color w:val="163A45"/>
          <w:sz w:val="26"/>
          <w:szCs w:val="26"/>
        </w:rPr>
        <w:t xml:space="preserve">10.2 Buttons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c>
          <w:tcPr>
            <w:tcW w:type="dxa" w:w="29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Button type</w:t>
            </w:r>
          </w:p>
        </w:tc>
        <w:tc>
          <w:tcPr>
            <w:tcW w:type="dxa" w:w="64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Style</w:t>
            </w:r>
          </w:p>
        </w:tc>
      </w:tr>
      <w:tr>
        <w:tc>
          <w:tcPr>
            <w:tcW w:type="dxa" w:w="29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Primary (e.g., “Request Service”)</w:t>
            </w:r>
          </w:p>
        </w:tc>
        <w:tc>
          <w:tcPr>
            <w:tcW w:type="dxa" w:w="64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Fill: Amber Soft. Text: Charcoal, Manrope SemiBold. Radius: 12px. Hover: darken 8%. Height: 48px (web) / 44px (mobile).</w:t>
            </w:r>
          </w:p>
        </w:tc>
      </w:tr>
      <w:tr>
        <w:tc>
          <w:tcPr>
            <w:tcW w:type="dxa" w:w="29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Secondary</w:t>
            </w:r>
          </w:p>
        </w:tc>
        <w:tc>
          <w:tcPr>
            <w:tcW w:type="dxa" w:w="64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Fill: transparent. Border: 1.5px Trust Ink. Text: Trust Ink, Manrope SemiBold. Hover: Ink Tint fill.</w:t>
            </w:r>
          </w:p>
        </w:tc>
      </w:tr>
      <w:tr>
        <w:tc>
          <w:tcPr>
            <w:tcW w:type="dxa" w:w="29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Tertiary / Text link</w:t>
            </w:r>
          </w:p>
        </w:tc>
        <w:tc>
          <w:tcPr>
            <w:tcW w:type="dxa" w:w="64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No fill/border. Text: Trust Ink, Inter SemiBold, underline on hover.</w:t>
            </w:r>
          </w:p>
        </w:tc>
      </w:tr>
      <w:tr>
        <w:tc>
          <w:tcPr>
            <w:tcW w:type="dxa" w:w="29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Destructive (e.g., “Cancel Request”)</w:t>
            </w:r>
          </w:p>
        </w:tc>
        <w:tc>
          <w:tcPr>
            <w:tcW w:type="dxa" w:w="64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Fill: transparent. Border: 1.5px Alert Coral. Text: Alert Coral. Hover: Coral 10% fill.</w:t>
            </w:r>
          </w:p>
        </w:tc>
      </w:tr>
      <w:tr>
        <w:tc>
          <w:tcPr>
            <w:tcW w:type="dxa" w:w="29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Disabled</w:t>
            </w:r>
          </w:p>
        </w:tc>
        <w:tc>
          <w:tcPr>
            <w:tcW w:type="dxa" w:w="64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Fill: Fog Gray. Text: Slate Gray. No hover state.</w:t>
            </w:r>
          </w:p>
        </w:tc>
      </w:tr>
    </w:tbl>
    <w:p>
      <w:pPr>
        <w:spacing w:after="200"/>
      </w:pPr>
    </w:p>
    <w:p>
      <w:pPr>
        <w:pStyle w:val="Heading2"/>
        <w:spacing w:after="150" w:before="300"/>
      </w:pPr>
      <w:r>
        <w:rPr>
          <w:rFonts w:ascii="Manrope" w:cs="Manrope" w:eastAsia="Manrope" w:hAnsi="Manrope"/>
          <w:b/>
          <w:bCs/>
          <w:color w:val="163A45"/>
          <w:sz w:val="26"/>
          <w:szCs w:val="26"/>
        </w:rPr>
        <w:t xml:space="preserve">10.3 Cards</w:t>
      </w:r>
    </w:p>
    <w:p>
      <w:pPr>
        <w:pStyle w:val="ListParagraph"/>
        <w:numPr>
          <w:ilvl w:val="0"/>
          <w:numId w:val="2"/>
        </w:numPr>
        <w:spacing w:after="80"/>
      </w:pPr>
      <w:r>
        <w:rPr>
          <w:rFonts w:ascii="Inter" w:cs="Inter" w:eastAsia="Inter" w:hAnsi="Inter"/>
          <w:color w:val="3A372F"/>
          <w:sz w:val="21"/>
          <w:szCs w:val="21"/>
        </w:rPr>
        <w:t xml:space="preserve">Provider Card: White fill, 16px radius, 1px Fog Gray border, subtle shadow (0 2px 8px rgba(30,77,92,0.08)). Contains: circular avatar (top-left), name (Manrope SemiBold), verified badge (Nunito Bold pill, Verified Green), star rating (Amber stars), service category tag, primary CTA button anchored bottom.</w:t>
      </w:r>
    </w:p>
    <w:p>
      <w:pPr>
        <w:pStyle w:val="ListParagraph"/>
        <w:numPr>
          <w:ilvl w:val="0"/>
          <w:numId w:val="2"/>
        </w:numPr>
        <w:spacing w:after="80"/>
      </w:pPr>
      <w:r>
        <w:rPr>
          <w:rFonts w:ascii="Inter" w:cs="Inter" w:eastAsia="Inter" w:hAnsi="Inter"/>
          <w:color w:val="3A372F"/>
          <w:sz w:val="21"/>
          <w:szCs w:val="21"/>
        </w:rPr>
        <w:t xml:space="preserve">Request/Status Card: Cream fill on White background, left accent bar colored by status (Amber = pending, Verified Green = confirmed, Alert Coral = cancelled).</w:t>
      </w:r>
    </w:p>
    <w:p>
      <w:pPr>
        <w:pStyle w:val="ListParagraph"/>
        <w:numPr>
          <w:ilvl w:val="0"/>
          <w:numId w:val="2"/>
        </w:numPr>
        <w:spacing w:after="80"/>
      </w:pPr>
      <w:r>
        <w:rPr>
          <w:rFonts w:ascii="Inter" w:cs="Inter" w:eastAsia="Inter" w:hAnsi="Inter"/>
          <w:color w:val="3A372F"/>
          <w:sz w:val="21"/>
          <w:szCs w:val="21"/>
        </w:rPr>
        <w:t xml:space="preserve">Info/Trust Card: Ink Tint or Green Tint background, icon top-left, Inter body copy, used for reassurance messaging (e.g., “Background-checked by management”).</w:t>
      </w:r>
    </w:p>
    <w:p>
      <w:pPr>
        <w:pStyle w:val="Heading2"/>
        <w:spacing w:after="150" w:before="300"/>
      </w:pPr>
      <w:r>
        <w:rPr>
          <w:rFonts w:ascii="Manrope" w:cs="Manrope" w:eastAsia="Manrope" w:hAnsi="Manrope"/>
          <w:b/>
          <w:bCs/>
          <w:color w:val="163A45"/>
          <w:sz w:val="26"/>
          <w:szCs w:val="26"/>
        </w:rPr>
        <w:t xml:space="preserve">10.4 Form Elements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Element</w:t>
            </w:r>
          </w:p>
        </w:tc>
        <w:tc>
          <w:tcPr>
            <w:tcW w:type="dxa" w:w="67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Style</w:t>
            </w:r>
          </w:p>
        </w:tc>
      </w:tr>
      <w:tr>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Text input</w:t>
            </w:r>
          </w:p>
        </w:tc>
        <w:tc>
          <w:tcPr>
            <w:tcW w:type="dxa" w:w="6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White fill, 1px Fog Gray border, 10px radius, 44px height, Charcoal Inter text, Trust Ink border + subtle Ink Tint glow on focus</w:t>
            </w:r>
          </w:p>
        </w:tc>
      </w:tr>
      <w:tr>
        <w:tc>
          <w:tcPr>
            <w:tcW w:type="dxa" w:w="26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Dropdown / Select</w:t>
            </w:r>
          </w:p>
        </w:tc>
        <w:tc>
          <w:tcPr>
            <w:tcW w:type="dxa" w:w="67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Matches text input; chevron icon in Slate Gray; selected value in Charcoal</w:t>
            </w:r>
          </w:p>
        </w:tc>
      </w:tr>
      <w:tr>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Checkbox / Radio</w:t>
            </w:r>
          </w:p>
        </w:tc>
        <w:tc>
          <w:tcPr>
            <w:tcW w:type="dxa" w:w="6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Trust Ink outline default; Verified Green fill + white check/dot when selected</w:t>
            </w:r>
          </w:p>
        </w:tc>
      </w:tr>
      <w:tr>
        <w:tc>
          <w:tcPr>
            <w:tcW w:type="dxa" w:w="26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Toggle switch</w:t>
            </w:r>
          </w:p>
        </w:tc>
        <w:tc>
          <w:tcPr>
            <w:tcW w:type="dxa" w:w="67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Fog Gray track off; Verified Green track on; white knob</w:t>
            </w:r>
          </w:p>
        </w:tc>
      </w:tr>
      <w:tr>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Validation – error</w:t>
            </w:r>
          </w:p>
        </w:tc>
        <w:tc>
          <w:tcPr>
            <w:tcW w:type="dxa" w:w="6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1.5px Alert Coral border, Coral helper text with inline icon, no red background fill</w:t>
            </w:r>
          </w:p>
        </w:tc>
      </w:tr>
      <w:tr>
        <w:tc>
          <w:tcPr>
            <w:tcW w:type="dxa" w:w="26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Validation – success</w:t>
            </w:r>
          </w:p>
        </w:tc>
        <w:tc>
          <w:tcPr>
            <w:tcW w:type="dxa" w:w="67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1.5px Verified Green border, small check icon in field</w:t>
            </w:r>
          </w:p>
        </w:tc>
      </w:tr>
      <w:tr>
        <w:tc>
          <w:tcPr>
            <w:tcW w:type="dxa" w:w="26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Placeholder text</w:t>
            </w:r>
          </w:p>
        </w:tc>
        <w:tc>
          <w:tcPr>
            <w:tcW w:type="dxa" w:w="67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Slate Gray, Inter Regular, never used as a label substitute (always pair with a visible label)</w:t>
            </w:r>
          </w:p>
        </w:tc>
      </w:tr>
    </w:tbl>
    <w:p>
      <w:pPr>
        <w:spacing w:after="200"/>
      </w:pPr>
    </w:p>
    <w:p>
      <w:pPr>
        <w:pStyle w:val="Heading2"/>
        <w:spacing w:after="150" w:before="300"/>
      </w:pPr>
      <w:r>
        <w:rPr>
          <w:rFonts w:ascii="Manrope" w:cs="Manrope" w:eastAsia="Manrope" w:hAnsi="Manrope"/>
          <w:b/>
          <w:bCs/>
          <w:color w:val="163A45"/>
          <w:sz w:val="26"/>
          <w:szCs w:val="26"/>
        </w:rPr>
        <w:t xml:space="preserve">10.5 Website-Specific Notes</w:t>
      </w:r>
    </w:p>
    <w:p>
      <w:pPr>
        <w:pStyle w:val="ListParagraph"/>
        <w:numPr>
          <w:ilvl w:val="0"/>
          <w:numId w:val="2"/>
        </w:numPr>
        <w:spacing w:after="80"/>
      </w:pPr>
      <w:r>
        <w:rPr>
          <w:rFonts w:ascii="Inter" w:cs="Inter" w:eastAsia="Inter" w:hAnsi="Inter"/>
          <w:color w:val="3A372F"/>
          <w:sz w:val="21"/>
          <w:szCs w:val="21"/>
        </w:rPr>
        <w:t xml:space="preserve">Header: sticky, White or Cream background, secondary logo lockup left, primary nav Manrope SemiBold center/right, Amber “Request Service” button far right.</w:t>
      </w:r>
    </w:p>
    <w:p>
      <w:pPr>
        <w:pStyle w:val="ListParagraph"/>
        <w:numPr>
          <w:ilvl w:val="0"/>
          <w:numId w:val="2"/>
        </w:numPr>
        <w:spacing w:after="80"/>
      </w:pPr>
      <w:r>
        <w:rPr>
          <w:rFonts w:ascii="Inter" w:cs="Inter" w:eastAsia="Inter" w:hAnsi="Inter"/>
          <w:color w:val="3A372F"/>
          <w:sz w:val="21"/>
          <w:szCs w:val="21"/>
        </w:rPr>
        <w:t xml:space="preserve">Footer: Trust Ink background, white/Inter links organized in columns, icon-only logo + tagline, social icons in white line-style matching 6.5.</w:t>
      </w:r>
    </w:p>
    <w:p>
      <w:pPr>
        <w:pStyle w:val="ListParagraph"/>
        <w:numPr>
          <w:ilvl w:val="0"/>
          <w:numId w:val="2"/>
        </w:numPr>
        <w:spacing w:after="80"/>
      </w:pPr>
      <w:r>
        <w:rPr>
          <w:rFonts w:ascii="Inter" w:cs="Inter" w:eastAsia="Inter" w:hAnsi="Inter"/>
          <w:color w:val="3A372F"/>
          <w:sz w:val="21"/>
          <w:szCs w:val="21"/>
        </w:rPr>
        <w:t xml:space="preserve">Hero sections: large Manrope Bold headline, Inter subhead, single Amber primary CTA, supporting real-context photography right-aligned or full-bleed with a Trust Ink gradient scrim for text legibility.</w:t>
      </w:r>
    </w:p>
    <w:p>
      <w:pPr>
        <w:pStyle w:val="Heading2"/>
        <w:spacing w:after="150" w:before="300"/>
      </w:pPr>
      <w:r>
        <w:rPr>
          <w:rFonts w:ascii="Manrope" w:cs="Manrope" w:eastAsia="Manrope" w:hAnsi="Manrope"/>
          <w:b/>
          <w:bCs/>
          <w:color w:val="163A45"/>
          <w:sz w:val="26"/>
          <w:szCs w:val="26"/>
        </w:rPr>
        <w:t xml:space="preserve">10.6 Mobile App-Specific Notes</w:t>
      </w:r>
    </w:p>
    <w:p>
      <w:pPr>
        <w:pStyle w:val="ListParagraph"/>
        <w:numPr>
          <w:ilvl w:val="0"/>
          <w:numId w:val="2"/>
        </w:numPr>
        <w:spacing w:after="80"/>
      </w:pPr>
      <w:r>
        <w:rPr>
          <w:rFonts w:ascii="Inter" w:cs="Inter" w:eastAsia="Inter" w:hAnsi="Inter"/>
          <w:color w:val="3A372F"/>
          <w:sz w:val="21"/>
          <w:szCs w:val="21"/>
        </w:rPr>
        <w:t xml:space="preserve">Bottom tab navigation: 5 items max, line icons per 6.5, active tab in Trust Ink with Amber dot indicator, inactive tabs in Slate Gray.</w:t>
      </w:r>
    </w:p>
    <w:p>
      <w:pPr>
        <w:pStyle w:val="ListParagraph"/>
        <w:numPr>
          <w:ilvl w:val="0"/>
          <w:numId w:val="2"/>
        </w:numPr>
        <w:spacing w:after="80"/>
      </w:pPr>
      <w:r>
        <w:rPr>
          <w:rFonts w:ascii="Inter" w:cs="Inter" w:eastAsia="Inter" w:hAnsi="Inter"/>
          <w:color w:val="3A372F"/>
          <w:sz w:val="21"/>
          <w:szCs w:val="21"/>
        </w:rPr>
        <w:t xml:space="preserve">Status bar / top app bar: Cream or White, icon-only logo mark left-aligned only on the home tab; screen title (Manrope SemiBold) on all other tabs.</w:t>
      </w:r>
    </w:p>
    <w:p>
      <w:pPr>
        <w:pStyle w:val="ListParagraph"/>
        <w:numPr>
          <w:ilvl w:val="0"/>
          <w:numId w:val="2"/>
        </w:numPr>
        <w:spacing w:after="80"/>
      </w:pPr>
      <w:r>
        <w:rPr>
          <w:rFonts w:ascii="Inter" w:cs="Inter" w:eastAsia="Inter" w:hAnsi="Inter"/>
          <w:color w:val="3A372F"/>
          <w:sz w:val="21"/>
          <w:szCs w:val="21"/>
        </w:rPr>
        <w:t xml:space="preserve">Verification badge component is a single reusable component across the entire app — never re-styled per screen — to keep the trust signal instantly recognizable.</w:t>
      </w:r>
    </w:p>
    <w:p>
      <w:pPr>
        <w:pStyle w:val="ListParagraph"/>
        <w:numPr>
          <w:ilvl w:val="0"/>
          <w:numId w:val="2"/>
        </w:numPr>
        <w:spacing w:after="80"/>
      </w:pPr>
      <w:r>
        <w:rPr>
          <w:rFonts w:ascii="Inter" w:cs="Inter" w:eastAsia="Inter" w:hAnsi="Inter"/>
          <w:color w:val="3A372F"/>
          <w:sz w:val="21"/>
          <w:szCs w:val="21"/>
        </w:rPr>
        <w:t xml:space="preserve">Empty/loading states use the illustration style from 6.4, never a bare spinner, to keep the “calm and reassuring” tone even while the user waits.</w:t>
      </w:r>
    </w:p>
    <w:p>
      <w:r>
        <w:br w:type="page"/>
      </w:r>
    </w:p>
    <w:p>
      <w:pPr>
        <w:pStyle w:val="Heading1"/>
        <w:pBdr>
          <w:bottom w:val="single" w:color="E8B04B" w:sz="12" w:space="6"/>
        </w:pBdr>
        <w:spacing w:after="200" w:before="400"/>
      </w:pPr>
      <w:r>
        <w:rPr>
          <w:rFonts w:ascii="Manrope" w:cs="Manrope" w:eastAsia="Manrope" w:hAnsi="Manrope"/>
          <w:b/>
          <w:bCs/>
          <w:color w:val="1E4D5C"/>
          <w:sz w:val="32"/>
          <w:szCs w:val="32"/>
        </w:rPr>
        <w:t xml:space="preserve">11. Asset Library, File Naming &amp; Usage Governance</w:t>
      </w:r>
    </w:p>
    <w:p>
      <w:pPr>
        <w:pStyle w:val="Heading2"/>
        <w:spacing w:after="150" w:before="300"/>
      </w:pPr>
      <w:r>
        <w:rPr>
          <w:rFonts w:ascii="Manrope" w:cs="Manrope" w:eastAsia="Manrope" w:hAnsi="Manrope"/>
          <w:b/>
          <w:bCs/>
          <w:color w:val="163A45"/>
          <w:sz w:val="26"/>
          <w:szCs w:val="26"/>
        </w:rPr>
        <w:t xml:space="preserve">11.1 Asset Library Structure</w:t>
      </w:r>
    </w:p>
    <w:p>
      <w:pPr>
        <w:pStyle w:val="ListParagraph"/>
        <w:numPr>
          <w:ilvl w:val="0"/>
          <w:numId w:val="2"/>
        </w:numPr>
        <w:spacing w:after="80"/>
      </w:pPr>
      <w:r>
        <w:rPr>
          <w:rFonts w:ascii="Inter" w:cs="Inter" w:eastAsia="Inter" w:hAnsi="Inter"/>
          <w:color w:val="3A372F"/>
          <w:sz w:val="21"/>
          <w:szCs w:val="21"/>
        </w:rPr>
        <w:t xml:space="preserve">01_Logos — subfolders: Primary, Secondary, Icon-only, Reversed, Monochrome; each exported as SVG, PNG (transparent), and PDF.</w:t>
      </w:r>
    </w:p>
    <w:p>
      <w:pPr>
        <w:pStyle w:val="ListParagraph"/>
        <w:numPr>
          <w:ilvl w:val="0"/>
          <w:numId w:val="2"/>
        </w:numPr>
        <w:spacing w:after="80"/>
      </w:pPr>
      <w:r>
        <w:rPr>
          <w:rFonts w:ascii="Inter" w:cs="Inter" w:eastAsia="Inter" w:hAnsi="Inter"/>
          <w:color w:val="3A372F"/>
          <w:sz w:val="21"/>
          <w:szCs w:val="21"/>
        </w:rPr>
        <w:t xml:space="preserve">02_Color — palette swatch files (.ase / .clr) and this guide's HEX/RGB/CMYK reference sheet.</w:t>
      </w:r>
    </w:p>
    <w:p>
      <w:pPr>
        <w:pStyle w:val="ListParagraph"/>
        <w:numPr>
          <w:ilvl w:val="0"/>
          <w:numId w:val="2"/>
        </w:numPr>
        <w:spacing w:after="80"/>
      </w:pPr>
      <w:r>
        <w:rPr>
          <w:rFonts w:ascii="Inter" w:cs="Inter" w:eastAsia="Inter" w:hAnsi="Inter"/>
          <w:color w:val="3A372F"/>
          <w:sz w:val="21"/>
          <w:szCs w:val="21"/>
        </w:rPr>
        <w:t xml:space="preserve">03_Typography — licensed font files or Google Fonts links for Manrope, Inter, Nunito, plus web-embed kits.</w:t>
      </w:r>
    </w:p>
    <w:p>
      <w:pPr>
        <w:pStyle w:val="ListParagraph"/>
        <w:numPr>
          <w:ilvl w:val="0"/>
          <w:numId w:val="2"/>
        </w:numPr>
        <w:spacing w:after="80"/>
      </w:pPr>
      <w:r>
        <w:rPr>
          <w:rFonts w:ascii="Inter" w:cs="Inter" w:eastAsia="Inter" w:hAnsi="Inter"/>
          <w:color w:val="3A372F"/>
          <w:sz w:val="21"/>
          <w:szCs w:val="21"/>
        </w:rPr>
        <w:t xml:space="preserve">04_Icons — full SVG icon set, organized by category (service icons, status icons, UI icons).</w:t>
      </w:r>
    </w:p>
    <w:p>
      <w:pPr>
        <w:pStyle w:val="ListParagraph"/>
        <w:numPr>
          <w:ilvl w:val="0"/>
          <w:numId w:val="2"/>
        </w:numPr>
        <w:spacing w:after="80"/>
      </w:pPr>
      <w:r>
        <w:rPr>
          <w:rFonts w:ascii="Inter" w:cs="Inter" w:eastAsia="Inter" w:hAnsi="Inter"/>
          <w:color w:val="3A372F"/>
          <w:sz w:val="21"/>
          <w:szCs w:val="21"/>
        </w:rPr>
        <w:t xml:space="preserve">05_Illustrations — onboarding/empty-state illustration set, SVG + PNG.</w:t>
      </w:r>
    </w:p>
    <w:p>
      <w:pPr>
        <w:pStyle w:val="ListParagraph"/>
        <w:numPr>
          <w:ilvl w:val="0"/>
          <w:numId w:val="2"/>
        </w:numPr>
        <w:spacing w:after="80"/>
      </w:pPr>
      <w:r>
        <w:rPr>
          <w:rFonts w:ascii="Inter" w:cs="Inter" w:eastAsia="Inter" w:hAnsi="Inter"/>
          <w:color w:val="3A372F"/>
          <w:sz w:val="21"/>
          <w:szCs w:val="21"/>
        </w:rPr>
        <w:t xml:space="preserve">06_Photography — approved real-context photo library, organized by service category.</w:t>
      </w:r>
    </w:p>
    <w:p>
      <w:pPr>
        <w:pStyle w:val="ListParagraph"/>
        <w:numPr>
          <w:ilvl w:val="0"/>
          <w:numId w:val="2"/>
        </w:numPr>
        <w:spacing w:after="80"/>
      </w:pPr>
      <w:r>
        <w:rPr>
          <w:rFonts w:ascii="Inter" w:cs="Inter" w:eastAsia="Inter" w:hAnsi="Inter"/>
          <w:color w:val="3A372F"/>
          <w:sz w:val="21"/>
          <w:szCs w:val="21"/>
        </w:rPr>
        <w:t xml:space="preserve">07_Templates — Social (post/carousel/story/reel/thumbnail), Presentation, Business Card, Letterhead, Email Signature, Proposal, Certificate — each as editable source (Figma/InDesign) plus locked PDF.</w:t>
      </w:r>
    </w:p>
    <w:p>
      <w:pPr>
        <w:pStyle w:val="ListParagraph"/>
        <w:numPr>
          <w:ilvl w:val="0"/>
          <w:numId w:val="2"/>
        </w:numPr>
        <w:spacing w:after="80"/>
      </w:pPr>
      <w:r>
        <w:rPr>
          <w:rFonts w:ascii="Inter" w:cs="Inter" w:eastAsia="Inter" w:hAnsi="Inter"/>
          <w:color w:val="3A372F"/>
          <w:sz w:val="21"/>
          <w:szCs w:val="21"/>
        </w:rPr>
        <w:t xml:space="preserve">08_UI_Kit — Figma component library: buttons, cards, form elements, badges, spacing tokens, color tokens, type tokens.</w:t>
      </w:r>
    </w:p>
    <w:p>
      <w:pPr>
        <w:pStyle w:val="Heading2"/>
        <w:spacing w:after="150" w:before="300"/>
      </w:pPr>
      <w:r>
        <w:rPr>
          <w:rFonts w:ascii="Manrope" w:cs="Manrope" w:eastAsia="Manrope" w:hAnsi="Manrope"/>
          <w:b/>
          <w:bCs/>
          <w:color w:val="163A45"/>
          <w:sz w:val="26"/>
          <w:szCs w:val="26"/>
        </w:rPr>
        <w:t xml:space="preserve">11.2 File Naming Convention</w:t>
      </w:r>
    </w:p>
    <w:p>
      <w:pPr>
        <w:spacing w:after="140" w:line="300"/>
      </w:pPr>
      <w:r>
        <w:rPr>
          <w:rFonts w:ascii="Inter" w:cs="Inter" w:eastAsia="Inter" w:hAnsi="Inter"/>
          <w:b/>
          <w:bCs/>
          <w:i w:val="false"/>
          <w:iCs w:val="false"/>
          <w:color w:val="3A372F"/>
          <w:sz w:val="21"/>
          <w:szCs w:val="21"/>
        </w:rPr>
        <w:t xml:space="preserve">Format: bahriaconnect_[asset-type]_[variant]_[colorway]_[size/version].ext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c>
          <w:tcPr>
            <w:tcW w:type="dxa" w:w="470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Example</w:t>
            </w:r>
          </w:p>
        </w:tc>
        <w:tc>
          <w:tcPr>
            <w:tcW w:type="dxa" w:w="4650"/>
            <w:shd w:fill="1E4D5C" w:val="clear"/>
            <w:tcMar>
              <w:top w:type="dxa" w:w="100"/>
              <w:left w:type="dxa" w:w="120"/>
              <w:bottom w:type="dxa" w:w="100"/>
              <w:right w:type="dxa" w:w="120"/>
            </w:tcMar>
            <w:vAlign w:val="center"/>
          </w:tcPr>
          <w:p>
            <w:r>
              <w:rPr>
                <w:rFonts w:ascii="Inter" w:cs="Inter" w:eastAsia="Inter" w:hAnsi="Inter"/>
                <w:b/>
                <w:bCs/>
                <w:color w:val="FFFFFF"/>
                <w:sz w:val="20"/>
                <w:szCs w:val="20"/>
              </w:rPr>
              <w:t xml:space="preserve">Meaning</w:t>
            </w:r>
          </w:p>
        </w:tc>
      </w:tr>
      <w:tr>
        <w:tc>
          <w:tcPr>
            <w:tcW w:type="dxa" w:w="47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bahriaconnect_logo_primary_fullcolor_v1.svg</w:t>
            </w:r>
          </w:p>
        </w:tc>
        <w:tc>
          <w:tcPr>
            <w:tcW w:type="dxa" w:w="46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Primary logo, full color, version 1</w:t>
            </w:r>
          </w:p>
        </w:tc>
      </w:tr>
      <w:tr>
        <w:tc>
          <w:tcPr>
            <w:tcW w:type="dxa" w:w="47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bahriaconnect_logo_icon_reversed_favicon32.png</w:t>
            </w:r>
          </w:p>
        </w:tc>
        <w:tc>
          <w:tcPr>
            <w:tcW w:type="dxa" w:w="46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Icon-only, reversed/white, 32px favicon export</w:t>
            </w:r>
          </w:p>
        </w:tc>
      </w:tr>
      <w:tr>
        <w:tc>
          <w:tcPr>
            <w:tcW w:type="dxa" w:w="47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bahriaconnect_social_post_providerspotlight_1080x1080.psd</w:t>
            </w:r>
          </w:p>
        </w:tc>
        <w:tc>
          <w:tcPr>
            <w:tcW w:type="dxa" w:w="46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Feed post template, Provider Spotlight variant</w:t>
            </w:r>
          </w:p>
        </w:tc>
      </w:tr>
      <w:tr>
        <w:tc>
          <w:tcPr>
            <w:tcW w:type="dxa" w:w="470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bahriaconnect_icon_service_plumbing_line_24px.svg</w:t>
            </w:r>
          </w:p>
        </w:tc>
        <w:tc>
          <w:tcPr>
            <w:tcW w:type="dxa" w:w="4650"/>
            <w:shd w:fill="F5F1E8"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Plumbing service icon, line style, 24px grid</w:t>
            </w:r>
          </w:p>
        </w:tc>
      </w:tr>
      <w:tr>
        <w:tc>
          <w:tcPr>
            <w:tcW w:type="dxa" w:w="470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bahriaconnect_uikit_button_primary_default.fig</w:t>
            </w:r>
          </w:p>
        </w:tc>
        <w:tc>
          <w:tcPr>
            <w:tcW w:type="dxa" w:w="4650"/>
            <w:shd w:fill="FFFFFF" w:val="clear"/>
            <w:tcMar>
              <w:top w:type="dxa" w:w="100"/>
              <w:left w:type="dxa" w:w="120"/>
              <w:bottom w:type="dxa" w:w="100"/>
              <w:right w:type="dxa" w:w="120"/>
            </w:tcMar>
            <w:vAlign w:val="center"/>
          </w:tcPr>
          <w:p>
            <w:r>
              <w:rPr>
                <w:rFonts w:ascii="Inter" w:cs="Inter" w:eastAsia="Inter" w:hAnsi="Inter"/>
                <w:b w:val="false"/>
                <w:bCs w:val="false"/>
                <w:color w:val="3A372F"/>
                <w:sz w:val="20"/>
                <w:szCs w:val="20"/>
              </w:rPr>
              <w:t xml:space="preserve">UI kit component: primary button, default state</w:t>
            </w:r>
          </w:p>
        </w:tc>
      </w:tr>
    </w:tbl>
    <w:p>
      <w:pPr>
        <w:spacing w:after="200"/>
      </w:pPr>
    </w:p>
    <w:p>
      <w:pPr>
        <w:pStyle w:val="ListParagraph"/>
        <w:numPr>
          <w:ilvl w:val="0"/>
          <w:numId w:val="2"/>
        </w:numPr>
        <w:spacing w:after="80"/>
      </w:pPr>
      <w:r>
        <w:rPr>
          <w:rFonts w:ascii="Inter" w:cs="Inter" w:eastAsia="Inter" w:hAnsi="Inter"/>
          <w:color w:val="3A372F"/>
          <w:sz w:val="21"/>
          <w:szCs w:val="21"/>
        </w:rPr>
        <w:t xml:space="preserve">All lowercase, hyphens within words, underscores between fields, no spaces or special characters.</w:t>
      </w:r>
    </w:p>
    <w:p>
      <w:pPr>
        <w:pStyle w:val="ListParagraph"/>
        <w:numPr>
          <w:ilvl w:val="0"/>
          <w:numId w:val="2"/>
        </w:numPr>
        <w:spacing w:after="80"/>
      </w:pPr>
      <w:r>
        <w:rPr>
          <w:rFonts w:ascii="Inter" w:cs="Inter" w:eastAsia="Inter" w:hAnsi="Inter"/>
          <w:color w:val="3A372F"/>
          <w:sz w:val="21"/>
          <w:szCs w:val="21"/>
        </w:rPr>
        <w:t xml:space="preserve">Version numbers (v1, v2…) increment only on approved revisions; drafts are prefixed DRAFT_ and never shared outside the design team.</w:t>
      </w:r>
    </w:p>
    <w:p>
      <w:pPr>
        <w:pStyle w:val="Heading2"/>
        <w:spacing w:after="150" w:before="300"/>
      </w:pPr>
      <w:r>
        <w:rPr>
          <w:rFonts w:ascii="Manrope" w:cs="Manrope" w:eastAsia="Manrope" w:hAnsi="Manrope"/>
          <w:b/>
          <w:bCs/>
          <w:color w:val="163A45"/>
          <w:sz w:val="26"/>
          <w:szCs w:val="26"/>
        </w:rPr>
        <w:t xml:space="preserve">11.3 Usage Guidelines &amp; Governance</w:t>
      </w:r>
    </w:p>
    <w:p>
      <w:pPr>
        <w:pStyle w:val="ListParagraph"/>
        <w:numPr>
          <w:ilvl w:val="0"/>
          <w:numId w:val="2"/>
        </w:numPr>
        <w:spacing w:after="80"/>
      </w:pPr>
      <w:r>
        <w:rPr>
          <w:rFonts w:ascii="Inter" w:cs="Inter" w:eastAsia="Inter" w:hAnsi="Inter"/>
          <w:color w:val="3A372F"/>
          <w:sz w:val="21"/>
          <w:szCs w:val="21"/>
        </w:rPr>
        <w:t xml:space="preserve">This guide is the single source of truth. Any deviation (new color, new font, new template) must be approved by the Brand/Creative Director before use in market.</w:t>
      </w:r>
    </w:p>
    <w:p>
      <w:pPr>
        <w:pStyle w:val="ListParagraph"/>
        <w:numPr>
          <w:ilvl w:val="0"/>
          <w:numId w:val="2"/>
        </w:numPr>
        <w:spacing w:after="80"/>
      </w:pPr>
      <w:r>
        <w:rPr>
          <w:rFonts w:ascii="Inter" w:cs="Inter" w:eastAsia="Inter" w:hAnsi="Inter"/>
          <w:color w:val="3A372F"/>
          <w:sz w:val="21"/>
          <w:szCs w:val="21"/>
        </w:rPr>
        <w:t xml:space="preserve">Third parties (freelancers, agencies, printers) receive only the locked, exported assets from the Asset Library — never editable source files unless under NDA and sign-off.</w:t>
      </w:r>
    </w:p>
    <w:p>
      <w:pPr>
        <w:pStyle w:val="ListParagraph"/>
        <w:numPr>
          <w:ilvl w:val="0"/>
          <w:numId w:val="2"/>
        </w:numPr>
        <w:spacing w:after="80"/>
      </w:pPr>
      <w:r>
        <w:rPr>
          <w:rFonts w:ascii="Inter" w:cs="Inter" w:eastAsia="Inter" w:hAnsi="Inter"/>
          <w:color w:val="3A372F"/>
          <w:sz w:val="21"/>
          <w:szCs w:val="21"/>
        </w:rPr>
        <w:t xml:space="preserve">All partner/co-branded materials must maintain BahriaConnect's minimum clear space and may not resize or recolor the logo, per Section 3.9.</w:t>
      </w:r>
    </w:p>
    <w:p>
      <w:pPr>
        <w:pStyle w:val="ListParagraph"/>
        <w:numPr>
          <w:ilvl w:val="0"/>
          <w:numId w:val="2"/>
        </w:numPr>
        <w:spacing w:after="80"/>
      </w:pPr>
      <w:r>
        <w:rPr>
          <w:rFonts w:ascii="Inter" w:cs="Inter" w:eastAsia="Inter" w:hAnsi="Inter"/>
          <w:color w:val="3A372F"/>
          <w:sz w:val="21"/>
          <w:szCs w:val="21"/>
        </w:rPr>
        <w:t xml:space="preserve">Review cadence: this guide is reviewed quarterly; all template files must be updated within two weeks of any approved brand change.</w:t>
      </w:r>
    </w:p>
    <w:p>
      <w:pPr>
        <w:pStyle w:val="ListParagraph"/>
        <w:numPr>
          <w:ilvl w:val="0"/>
          <w:numId w:val="2"/>
        </w:numPr>
        <w:spacing w:after="80"/>
      </w:pPr>
      <w:r>
        <w:rPr>
          <w:rFonts w:ascii="Inter" w:cs="Inter" w:eastAsia="Inter" w:hAnsi="Inter"/>
          <w:color w:val="3A372F"/>
          <w:sz w:val="21"/>
          <w:szCs w:val="21"/>
        </w:rPr>
        <w:t xml:space="preserve">Accessibility, tone, and vocabulary rules (Sections 2 and 4.6) apply to every touchpoint without exception, including paid media and third-party marketplaces.</w:t>
      </w:r>
    </w:p>
    <w:p>
      <w:pPr>
        <w:spacing w:after="400"/>
      </w:pPr>
    </w:p>
    <w:p>
      <w:pPr>
        <w:pBdr>
          <w:top w:val="single" w:color="E8B04B" w:sz="12" w:space="10"/>
        </w:pBdr>
        <w:spacing w:before="300"/>
      </w:pPr>
      <w:r>
        <w:rPr>
          <w:rFonts w:ascii="Inter" w:cs="Inter" w:eastAsia="Inter" w:hAnsi="Inter"/>
          <w:i/>
          <w:iCs/>
          <w:color w:val="6B6B63"/>
          <w:sz w:val="18"/>
          <w:szCs w:val="18"/>
        </w:rPr>
        <w:t xml:space="preserve">BahriaConnect Brand Guidelines · Version 1.0 · 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6B63"/>
        <w:sz w:val="15"/>
        <w:szCs w:val="15"/>
      </w:rPr>
      <w:t xml:space="preserve">Page </w:t>
    </w:r>
    <w:r>
      <w:rPr>
        <w:rFonts w:ascii="Inter" w:cs="Inter" w:eastAsia="Inter" w:hAnsi="Inter"/>
        <w:color w:val="6B6B63"/>
        <w:sz w:val="15"/>
        <w:szCs w:val="15"/>
      </w:rPr>
      <w:fldChar w:fldCharType="begin"/>
      <w:instrText xml:space="preserve">PAGE</w:instrText>
      <w:fldChar w:fldCharType="separate"/>
      <w:fldChar w:fldCharType="end"/>
    </w:r>
    <w:r>
      <w:rPr>
        <w:rFonts w:ascii="Inter" w:cs="Inter" w:eastAsia="Inter" w:hAnsi="Inter"/>
        <w:color w:val="6B6B63"/>
        <w:sz w:val="15"/>
        <w:szCs w:val="15"/>
      </w:rPr>
      <w:t xml:space="preserve"> of </w:t>
    </w:r>
    <w:r>
      <w:rPr>
        <w:rFonts w:ascii="Inter" w:cs="Inter" w:eastAsia="Inter" w:hAnsi="Inter"/>
        <w:color w:val="6B6B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3C8" w:sz="4" w:space="4"/>
      </w:pBdr>
      <w:jc w:val="right"/>
    </w:pPr>
    <w:r>
      <w:rPr>
        <w:rFonts w:ascii="Manrope" w:cs="Manrope" w:eastAsia="Manrope" w:hAnsi="Manrope"/>
        <w:color w:val="6B6B63"/>
        <w:sz w:val="15"/>
        <w:szCs w:val="15"/>
      </w:rPr>
      <w:t xml:space="preserve">BAHRIACONNECT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A37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BahriaConnect Brand Identity &amp; Design System</dc:title>
  <dc:creator>BahriaConnect Brand Team</dc:creator>
  <cp:lastModifiedBy>Un-named</cp:lastModifiedBy>
  <cp:revision>1</cp:revision>
  <dcterms:created xsi:type="dcterms:W3CDTF">2026-08-18T15:03:32.509Z</dcterms:created>
  <dcterms:modified xsi:type="dcterms:W3CDTF">2026-08-18T15:03:32.509Z</dcterms:modified>
</cp:coreProperties>
</file>

<file path=docProps/custom.xml><?xml version="1.0" encoding="utf-8"?>
<Properties xmlns="http://schemas.openxmlformats.org/officeDocument/2006/custom-properties" xmlns:vt="http://schemas.openxmlformats.org/officeDocument/2006/docPropsVTypes"/>
</file>