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28"/>
          <w:szCs w:val="28"/>
        </w:rPr>
        <w:t xml:space="preserve">Program 4 - Design Document</w:t>
      </w:r>
    </w:p>
    <w:p>
      <w:pPr>
        <w:spacing w:after="360" w:before="0"/>
      </w:pPr>
      <w:r>
        <w:rPr>
          <w:rFonts w:ascii="Arial" w:cs="Arial" w:eastAsia="Arial" w:hAnsi="Arial"/>
          <w:sz w:val="22"/>
          <w:szCs w:val="22"/>
        </w:rPr>
        <w:t xml:space="preserve">By Nandini Mistry &amp; Zainab Ahsan</w:t>
      </w:r>
    </w:p>
    <w:p>
      <w:pPr>
        <w:pStyle w:val="Heading1"/>
        <w:spacing w:after="160" w:before="360"/>
      </w:pPr>
      <w:r>
        <w:rPr>
          <w:rFonts w:ascii="Arial" w:cs="Arial" w:eastAsia="Arial" w:hAnsi="Arial"/>
          <w:b/>
          <w:bCs/>
          <w:sz w:val="28"/>
          <w:szCs w:val="28"/>
        </w:rPr>
        <w:t xml:space="preserve">2. Updated Design</w:t>
      </w:r>
    </w:p>
    <w:p>
      <w:pPr>
        <w:spacing w:after="120" w:before="0"/>
      </w:pPr>
      <w:r>
        <w:rPr>
          <w:rFonts w:ascii="Arial" w:cs="Arial" w:eastAsia="Arial" w:hAnsi="Arial"/>
          <w:sz w:val="22"/>
          <w:szCs w:val="22"/>
        </w:rPr>
        <w:t xml:space="preserve">The core class hierarchy and program flow remained consistent with the original design document. The changes below were made during implementation to resolve issues that the pseudocode-level design did not fully address.</w:t>
      </w:r>
    </w:p>
    <w:p>
      <w:pPr>
        <w:spacing w:after="80" w:before="0"/>
      </w:pPr>
      <w:r>
        <w:t xml:space="preserve"/>
      </w:r>
    </w:p>
    <w:p>
      <w:pPr>
        <w:pStyle w:val="Heading2"/>
        <w:spacing w:after="120" w:before="240"/>
      </w:pPr>
      <w:r>
        <w:rPr>
          <w:rFonts w:ascii="Arial" w:cs="Arial" w:eastAsia="Arial" w:hAnsi="Arial"/>
          <w:b/>
          <w:bCs/>
          <w:sz w:val="24"/>
          <w:szCs w:val="24"/>
        </w:rPr>
        <w:t xml:space="preserve">2.1. Transaction Subclass Renaming</w:t>
      </w:r>
    </w:p>
    <w:p>
      <w:pPr>
        <w:spacing w:after="120" w:before="0"/>
      </w:pPr>
      <w:r>
        <w:rPr>
          <w:rFonts w:ascii="Courier New" w:cs="Courier New" w:eastAsia="Courier New" w:hAnsi="Courier New"/>
          <w:b w:val="false"/>
          <w:bCs w:val="false"/>
          <w:sz w:val="18"/>
          <w:szCs w:val="18"/>
        </w:rPr>
        <w:t xml:space="preserve">Return</w:t>
      </w:r>
      <w:r>
        <w:rPr>
          <w:rFonts w:ascii="Arial" w:cs="Arial" w:eastAsia="Arial" w:hAnsi="Arial"/>
          <w:b w:val="false"/>
          <w:bCs w:val="false"/>
          <w:sz w:val="22"/>
          <w:szCs w:val="22"/>
        </w:rPr>
        <w:t xml:space="preserve">, </w:t>
      </w:r>
      <w:r>
        <w:rPr>
          <w:rFonts w:ascii="Courier New" w:cs="Courier New" w:eastAsia="Courier New" w:hAnsi="Courier New"/>
          <w:b w:val="false"/>
          <w:bCs w:val="false"/>
          <w:sz w:val="18"/>
          <w:szCs w:val="18"/>
        </w:rPr>
        <w:t xml:space="preserve">Inventory</w:t>
      </w:r>
      <w:r>
        <w:rPr>
          <w:rFonts w:ascii="Arial" w:cs="Arial" w:eastAsia="Arial" w:hAnsi="Arial"/>
          <w:b w:val="false"/>
          <w:bCs w:val="false"/>
          <w:sz w:val="22"/>
          <w:szCs w:val="22"/>
        </w:rPr>
        <w:t xml:space="preserve">, and </w:t>
      </w:r>
      <w:r>
        <w:rPr>
          <w:rFonts w:ascii="Courier New" w:cs="Courier New" w:eastAsia="Courier New" w:hAnsi="Courier New"/>
          <w:b w:val="false"/>
          <w:bCs w:val="false"/>
          <w:sz w:val="18"/>
          <w:szCs w:val="18"/>
        </w:rPr>
        <w:t xml:space="preserve">History</w:t>
      </w:r>
      <w:r>
        <w:rPr>
          <w:rFonts w:ascii="Arial" w:cs="Arial" w:eastAsia="Arial" w:hAnsi="Arial"/>
          <w:b w:val="false"/>
          <w:bCs w:val="false"/>
          <w:sz w:val="22"/>
          <w:szCs w:val="22"/>
        </w:rPr>
        <w:t xml:space="preserve"> were renamed to </w:t>
      </w:r>
      <w:r>
        <w:rPr>
          <w:rFonts w:ascii="Courier New" w:cs="Courier New" w:eastAsia="Courier New" w:hAnsi="Courier New"/>
          <w:b w:val="false"/>
          <w:bCs w:val="false"/>
          <w:sz w:val="18"/>
          <w:szCs w:val="18"/>
        </w:rPr>
        <w:t xml:space="preserve">ReturnTxn</w:t>
      </w:r>
      <w:r>
        <w:rPr>
          <w:rFonts w:ascii="Arial" w:cs="Arial" w:eastAsia="Arial" w:hAnsi="Arial"/>
          <w:b w:val="false"/>
          <w:bCs w:val="false"/>
          <w:sz w:val="22"/>
          <w:szCs w:val="22"/>
        </w:rPr>
        <w:t xml:space="preserve">, </w:t>
      </w:r>
      <w:r>
        <w:rPr>
          <w:rFonts w:ascii="Courier New" w:cs="Courier New" w:eastAsia="Courier New" w:hAnsi="Courier New"/>
          <w:b w:val="false"/>
          <w:bCs w:val="false"/>
          <w:sz w:val="18"/>
          <w:szCs w:val="18"/>
        </w:rPr>
        <w:t xml:space="preserve">InventoryTxn</w:t>
      </w:r>
      <w:r>
        <w:rPr>
          <w:rFonts w:ascii="Arial" w:cs="Arial" w:eastAsia="Arial" w:hAnsi="Arial"/>
          <w:b w:val="false"/>
          <w:bCs w:val="false"/>
          <w:sz w:val="22"/>
          <w:szCs w:val="22"/>
        </w:rPr>
        <w:t xml:space="preserve">, and </w:t>
      </w:r>
      <w:r>
        <w:rPr>
          <w:rFonts w:ascii="Courier New" w:cs="Courier New" w:eastAsia="Courier New" w:hAnsi="Courier New"/>
          <w:b w:val="false"/>
          <w:bCs w:val="false"/>
          <w:sz w:val="18"/>
          <w:szCs w:val="18"/>
        </w:rPr>
        <w:t xml:space="preserve">HistoryTxn</w:t>
      </w:r>
      <w:r>
        <w:rPr>
          <w:rFonts w:ascii="Arial" w:cs="Arial" w:eastAsia="Arial" w:hAnsi="Arial"/>
          <w:b w:val="false"/>
          <w:bCs w:val="false"/>
          <w:sz w:val="22"/>
          <w:szCs w:val="22"/>
        </w:rPr>
        <w:t xml:space="preserve"> to avoid naming conflicts with C++ standard-library identifiers. The rename was applied consistently across all headers, source files, and </w:t>
      </w:r>
      <w:r>
        <w:rPr>
          <w:rFonts w:ascii="Courier New" w:cs="Courier New" w:eastAsia="Courier New" w:hAnsi="Courier New"/>
          <w:b w:val="false"/>
          <w:bCs w:val="false"/>
          <w:sz w:val="18"/>
          <w:szCs w:val="18"/>
        </w:rPr>
        <w:t xml:space="preserve">Store::makeTransaction()</w:t>
      </w:r>
      <w:r>
        <w:rPr>
          <w:rFonts w:ascii="Arial" w:cs="Arial" w:eastAsia="Arial" w:hAnsi="Arial"/>
          <w:b w:val="false"/>
          <w:bCs w:val="false"/>
          <w:sz w:val="22"/>
          <w:szCs w:val="22"/>
        </w:rPr>
        <w:t xml:space="preserve">.</w:t>
      </w:r>
    </w:p>
    <w:p>
      <w:pPr>
        <w:spacing w:after="80" w:before="0"/>
      </w:pPr>
      <w:r>
        <w:t xml:space="preserve"/>
      </w:r>
    </w:p>
    <w:p>
      <w:pPr>
        <w:pStyle w:val="Heading2"/>
        <w:spacing w:after="120" w:before="240"/>
      </w:pPr>
      <w:r>
        <w:rPr>
          <w:rFonts w:ascii="Arial" w:cs="Arial" w:eastAsia="Arial" w:hAnsi="Arial"/>
          <w:b/>
          <w:bCs/>
          <w:sz w:val="24"/>
          <w:szCs w:val="24"/>
        </w:rPr>
        <w:t xml:space="preserve">2.2. setSearchKey() Added to the Movie Hierarchy</w:t>
      </w:r>
    </w:p>
    <w:p>
      <w:pPr>
        <w:spacing w:after="120" w:before="0"/>
      </w:pPr>
      <w:r>
        <w:rPr>
          <w:rFonts w:ascii="Arial" w:cs="Arial" w:eastAsia="Arial" w:hAnsi="Arial"/>
          <w:b w:val="false"/>
          <w:bCs w:val="false"/>
          <w:sz w:val="22"/>
          <w:szCs w:val="22"/>
        </w:rPr>
        <w:t xml:space="preserve">A second pure-virtual method, </w:t>
      </w:r>
      <w:r>
        <w:rPr>
          <w:rFonts w:ascii="Courier New" w:cs="Courier New" w:eastAsia="Courier New" w:hAnsi="Courier New"/>
          <w:b w:val="false"/>
          <w:bCs w:val="false"/>
          <w:sz w:val="18"/>
          <w:szCs w:val="18"/>
        </w:rPr>
        <w:t xml:space="preserve">setSearchKey(istream&amp;)</w:t>
      </w:r>
      <w:r>
        <w:rPr>
          <w:rFonts w:ascii="Arial" w:cs="Arial" w:eastAsia="Arial" w:hAnsi="Arial"/>
          <w:b w:val="false"/>
          <w:bCs w:val="false"/>
          <w:sz w:val="22"/>
          <w:szCs w:val="22"/>
        </w:rPr>
        <w:t xml:space="preserve">, was added to Movie alongside </w:t>
      </w:r>
      <w:r>
        <w:rPr>
          <w:rFonts w:ascii="Courier New" w:cs="Courier New" w:eastAsia="Courier New" w:hAnsi="Courier New"/>
          <w:b w:val="false"/>
          <w:bCs w:val="false"/>
          <w:sz w:val="18"/>
          <w:szCs w:val="18"/>
        </w:rPr>
        <w:t xml:space="preserve">setData(istream&amp;)</w:t>
      </w:r>
      <w:r>
        <w:rPr>
          <w:rFonts w:ascii="Arial" w:cs="Arial" w:eastAsia="Arial" w:hAnsi="Arial"/>
          <w:b w:val="false"/>
          <w:bCs w:val="false"/>
          <w:sz w:val="22"/>
          <w:szCs w:val="22"/>
        </w:rPr>
        <w:t xml:space="preserve">. Each genre subclass overrides it to parse only the abbreviated fields present in a Borrow or Return command (Comedy: title + year; Drama: director + title; Classic: month, year, actor). The original design used a single </w:t>
      </w:r>
      <w:r>
        <w:rPr>
          <w:rFonts w:ascii="Courier New" w:cs="Courier New" w:eastAsia="Courier New" w:hAnsi="Courier New"/>
          <w:b w:val="false"/>
          <w:bCs w:val="false"/>
          <w:sz w:val="18"/>
          <w:szCs w:val="18"/>
        </w:rPr>
        <w:t xml:space="preserve">setData()</w:t>
      </w:r>
      <w:r>
        <w:rPr>
          <w:rFonts w:ascii="Arial" w:cs="Arial" w:eastAsia="Arial" w:hAnsi="Arial"/>
          <w:b w:val="false"/>
          <w:bCs w:val="false"/>
          <w:sz w:val="22"/>
          <w:szCs w:val="22"/>
        </w:rPr>
        <w:t xml:space="preserve"> for both purposes, but command lines omit the stock count and, for Classic, reorder the actor and date fields relative to the inventory format — making a shared parser unworkable.</w:t>
      </w:r>
    </w:p>
    <w:p>
      <w:pPr>
        <w:spacing w:after="80" w:before="0"/>
      </w:pPr>
      <w:r>
        <w:t xml:space="preserve"/>
      </w:r>
    </w:p>
    <w:p>
      <w:pPr>
        <w:pStyle w:val="Heading2"/>
        <w:spacing w:after="120" w:before="240"/>
      </w:pPr>
      <w:r>
        <w:rPr>
          <w:rFonts w:ascii="Arial" w:cs="Arial" w:eastAsia="Arial" w:hAnsi="Arial"/>
          <w:b/>
          <w:bCs/>
          <w:sz w:val="24"/>
          <w:szCs w:val="24"/>
        </w:rPr>
        <w:t xml:space="preserve">2.3. displayBrief() Added to the Movie Hierarchy</w:t>
      </w:r>
    </w:p>
    <w:p>
      <w:pPr>
        <w:spacing w:after="120" w:before="0"/>
      </w:pPr>
      <w:r>
        <w:rPr>
          <w:rFonts w:ascii="Arial" w:cs="Arial" w:eastAsia="Arial" w:hAnsi="Arial"/>
          <w:b w:val="false"/>
          <w:bCs w:val="false"/>
          <w:sz w:val="22"/>
          <w:szCs w:val="22"/>
        </w:rPr>
        <w:t xml:space="preserve">A second pure-virtual display method, </w:t>
      </w:r>
      <w:r>
        <w:rPr>
          <w:rFonts w:ascii="Courier New" w:cs="Courier New" w:eastAsia="Courier New" w:hAnsi="Courier New"/>
          <w:b w:val="false"/>
          <w:bCs w:val="false"/>
          <w:sz w:val="18"/>
          <w:szCs w:val="18"/>
        </w:rPr>
        <w:t xml:space="preserve">displayBrief(ostream&amp;)</w:t>
      </w:r>
      <w:r>
        <w:rPr>
          <w:rFonts w:ascii="Arial" w:cs="Arial" w:eastAsia="Arial" w:hAnsi="Arial"/>
          <w:b w:val="false"/>
          <w:bCs w:val="false"/>
          <w:sz w:val="22"/>
          <w:szCs w:val="22"/>
        </w:rPr>
        <w:t xml:space="preserve">, was added to Movie. Each subclass overrides it to emit a short identifier (genre code, key fields, title) without the stock count. </w:t>
      </w:r>
      <w:r>
        <w:rPr>
          <w:rFonts w:ascii="Courier New" w:cs="Courier New" w:eastAsia="Courier New" w:hAnsi="Courier New"/>
          <w:b w:val="false"/>
          <w:bCs w:val="false"/>
          <w:sz w:val="18"/>
          <w:szCs w:val="18"/>
        </w:rPr>
        <w:t xml:space="preserve">Borrow</w:t>
      </w:r>
      <w:r>
        <w:rPr>
          <w:rFonts w:ascii="Arial" w:cs="Arial" w:eastAsia="Arial" w:hAnsi="Arial"/>
          <w:b w:val="false"/>
          <w:bCs w:val="false"/>
          <w:sz w:val="22"/>
          <w:szCs w:val="22"/>
        </w:rPr>
        <w:t xml:space="preserve"> and </w:t>
      </w:r>
      <w:r>
        <w:rPr>
          <w:rFonts w:ascii="Courier New" w:cs="Courier New" w:eastAsia="Courier New" w:hAnsi="Courier New"/>
          <w:b w:val="false"/>
          <w:bCs w:val="false"/>
          <w:sz w:val="18"/>
          <w:szCs w:val="18"/>
        </w:rPr>
        <w:t xml:space="preserve">ReturnTxn</w:t>
      </w:r>
      <w:r>
        <w:rPr>
          <w:rFonts w:ascii="Arial" w:cs="Arial" w:eastAsia="Arial" w:hAnsi="Arial"/>
          <w:b w:val="false"/>
          <w:bCs w:val="false"/>
          <w:sz w:val="22"/>
          <w:szCs w:val="22"/>
        </w:rPr>
        <w:t xml:space="preserve"> call </w:t>
      </w:r>
      <w:r>
        <w:rPr>
          <w:rFonts w:ascii="Courier New" w:cs="Courier New" w:eastAsia="Courier New" w:hAnsi="Courier New"/>
          <w:b w:val="false"/>
          <w:bCs w:val="false"/>
          <w:sz w:val="18"/>
          <w:szCs w:val="18"/>
        </w:rPr>
        <w:t xml:space="preserve">movie-&gt;displayBrief()</w:t>
      </w:r>
      <w:r>
        <w:rPr>
          <w:rFonts w:ascii="Arial" w:cs="Arial" w:eastAsia="Arial" w:hAnsi="Arial"/>
          <w:b w:val="false"/>
          <w:bCs w:val="false"/>
          <w:sz w:val="22"/>
          <w:szCs w:val="22"/>
        </w:rPr>
        <w:t xml:space="preserve"> in their </w:t>
      </w:r>
      <w:r>
        <w:rPr>
          <w:rFonts w:ascii="Courier New" w:cs="Courier New" w:eastAsia="Courier New" w:hAnsi="Courier New"/>
          <w:b w:val="false"/>
          <w:bCs w:val="false"/>
          <w:sz w:val="18"/>
          <w:szCs w:val="18"/>
        </w:rPr>
        <w:t xml:space="preserve">display()</w:t>
      </w:r>
      <w:r>
        <w:rPr>
          <w:rFonts w:ascii="Arial" w:cs="Arial" w:eastAsia="Arial" w:hAnsi="Arial"/>
          <w:b w:val="false"/>
          <w:bCs w:val="false"/>
          <w:sz w:val="22"/>
          <w:szCs w:val="22"/>
        </w:rPr>
        <w:t xml:space="preserve"> methods to produce the customer history output format.</w:t>
      </w:r>
    </w:p>
    <w:p>
      <w:pPr>
        <w:spacing w:after="80" w:before="0"/>
      </w:pPr>
      <w:r>
        <w:t xml:space="preserve"/>
      </w:r>
    </w:p>
    <w:p>
      <w:pPr>
        <w:pStyle w:val="Heading2"/>
        <w:spacing w:after="120" w:before="240"/>
      </w:pPr>
      <w:r>
        <w:rPr>
          <w:rFonts w:ascii="Arial" w:cs="Arial" w:eastAsia="Arial" w:hAnsi="Arial"/>
          <w:b/>
          <w:bCs/>
          <w:sz w:val="24"/>
          <w:szCs w:val="24"/>
        </w:rPr>
        <w:t xml:space="preserve">2.4. movie Pointer and Accessors Lifted to Transaction Base</w:t>
      </w:r>
    </w:p>
    <w:p>
      <w:pPr>
        <w:spacing w:after="120" w:before="0"/>
      </w:pPr>
      <w:r>
        <w:rPr>
          <w:rFonts w:ascii="Arial" w:cs="Arial" w:eastAsia="Arial" w:hAnsi="Arial"/>
          <w:b w:val="false"/>
          <w:bCs w:val="false"/>
          <w:sz w:val="22"/>
          <w:szCs w:val="22"/>
        </w:rPr>
        <w:t xml:space="preserve">The </w:t>
      </w:r>
      <w:r>
        <w:rPr>
          <w:rFonts w:ascii="Courier New" w:cs="Courier New" w:eastAsia="Courier New" w:hAnsi="Courier New"/>
          <w:b w:val="false"/>
          <w:bCs w:val="false"/>
          <w:sz w:val="18"/>
          <w:szCs w:val="18"/>
        </w:rPr>
        <w:t xml:space="preserve">Movie* movie</w:t>
      </w:r>
      <w:r>
        <w:rPr>
          <w:rFonts w:ascii="Arial" w:cs="Arial" w:eastAsia="Arial" w:hAnsi="Arial"/>
          <w:b w:val="false"/>
          <w:bCs w:val="false"/>
          <w:sz w:val="22"/>
          <w:szCs w:val="22"/>
        </w:rPr>
        <w:t xml:space="preserve"> data member was moved from Borrow and ReturnTxn into the Transaction base class, along with </w:t>
      </w:r>
      <w:r>
        <w:rPr>
          <w:rFonts w:ascii="Courier New" w:cs="Courier New" w:eastAsia="Courier New" w:hAnsi="Courier New"/>
          <w:b w:val="false"/>
          <w:bCs w:val="false"/>
          <w:sz w:val="18"/>
          <w:szCs w:val="18"/>
        </w:rPr>
        <w:t xml:space="preserve">getMovie()</w:t>
      </w:r>
      <w:r>
        <w:rPr>
          <w:rFonts w:ascii="Arial" w:cs="Arial" w:eastAsia="Arial" w:hAnsi="Arial"/>
          <w:b w:val="false"/>
          <w:bCs w:val="false"/>
          <w:sz w:val="22"/>
          <w:szCs w:val="22"/>
        </w:rPr>
        <w:t xml:space="preserve"> and </w:t>
      </w:r>
      <w:r>
        <w:rPr>
          <w:rFonts w:ascii="Courier New" w:cs="Courier New" w:eastAsia="Courier New" w:hAnsi="Courier New"/>
          <w:b w:val="false"/>
          <w:bCs w:val="false"/>
          <w:sz w:val="18"/>
          <w:szCs w:val="18"/>
        </w:rPr>
        <w:t xml:space="preserve">getAction()</w:t>
      </w:r>
      <w:r>
        <w:rPr>
          <w:rFonts w:ascii="Arial" w:cs="Arial" w:eastAsia="Arial" w:hAnsi="Arial"/>
          <w:b w:val="false"/>
          <w:bCs w:val="false"/>
          <w:sz w:val="22"/>
          <w:szCs w:val="22"/>
        </w:rPr>
        <w:t xml:space="preserve"> accessors. This was necessary because two callers need these values without knowing the concrete subclass: </w:t>
      </w:r>
      <w:r>
        <w:rPr>
          <w:rFonts w:ascii="Courier New" w:cs="Courier New" w:eastAsia="Courier New" w:hAnsi="Courier New"/>
          <w:b w:val="false"/>
          <w:bCs w:val="false"/>
          <w:sz w:val="18"/>
          <w:szCs w:val="18"/>
        </w:rPr>
        <w:t xml:space="preserve">Customer::hasOutstanding()</w:t>
      </w:r>
      <w:r>
        <w:rPr>
          <w:rFonts w:ascii="Arial" w:cs="Arial" w:eastAsia="Arial" w:hAnsi="Arial"/>
          <w:b w:val="false"/>
          <w:bCs w:val="false"/>
          <w:sz w:val="22"/>
          <w:szCs w:val="22"/>
        </w:rPr>
        <w:t xml:space="preserve"> compares movie pointers across all history entries, and </w:t>
      </w:r>
      <w:r>
        <w:rPr>
          <w:rFonts w:ascii="Courier New" w:cs="Courier New" w:eastAsia="Courier New" w:hAnsi="Courier New"/>
          <w:b w:val="false"/>
          <w:bCs w:val="false"/>
          <w:sz w:val="18"/>
          <w:szCs w:val="18"/>
        </w:rPr>
        <w:t xml:space="preserve">Store::processCommands()</w:t>
      </w:r>
      <w:r>
        <w:rPr>
          <w:rFonts w:ascii="Arial" w:cs="Arial" w:eastAsia="Arial" w:hAnsi="Arial"/>
          <w:b w:val="false"/>
          <w:bCs w:val="false"/>
          <w:sz w:val="22"/>
          <w:szCs w:val="22"/>
        </w:rPr>
        <w:t xml:space="preserve"> inspects the action code to decide whether to delete the transaction after execution.</w:t>
      </w:r>
    </w:p>
    <w:p>
      <w:pPr>
        <w:spacing w:after="80" w:before="0"/>
      </w:pPr>
      <w:r>
        <w:t xml:space="preserve"/>
      </w:r>
    </w:p>
    <w:p>
      <w:pPr>
        <w:pStyle w:val="Heading2"/>
        <w:spacing w:after="120" w:before="240"/>
      </w:pPr>
      <w:r>
        <w:rPr>
          <w:rFonts w:ascii="Arial" w:cs="Arial" w:eastAsia="Arial" w:hAnsi="Arial"/>
          <w:b/>
          <w:bCs/>
          <w:sz w:val="24"/>
          <w:szCs w:val="24"/>
        </w:rPr>
        <w:t xml:space="preserve">2.5. occupied[] Sentinel Array in HashTable</w:t>
      </w:r>
    </w:p>
    <w:p>
      <w:pPr>
        <w:spacing w:after="120" w:before="0"/>
      </w:pPr>
      <w:r>
        <w:rPr>
          <w:rFonts w:ascii="Arial" w:cs="Arial" w:eastAsia="Arial" w:hAnsi="Arial"/>
          <w:b w:val="false"/>
          <w:bCs w:val="false"/>
          <w:sz w:val="22"/>
          <w:szCs w:val="22"/>
        </w:rPr>
        <w:t xml:space="preserve">A </w:t>
      </w:r>
      <w:r>
        <w:rPr>
          <w:rFonts w:ascii="Courier New" w:cs="Courier New" w:eastAsia="Courier New" w:hAnsi="Courier New"/>
          <w:b w:val="false"/>
          <w:bCs w:val="false"/>
          <w:sz w:val="18"/>
          <w:szCs w:val="18"/>
        </w:rPr>
        <w:t xml:space="preserve">bool occupied[TABLE_SIZE]</w:t>
      </w:r>
      <w:r>
        <w:rPr>
          <w:rFonts w:ascii="Arial" w:cs="Arial" w:eastAsia="Arial" w:hAnsi="Arial"/>
          <w:b w:val="false"/>
          <w:bCs w:val="false"/>
          <w:sz w:val="22"/>
          <w:szCs w:val="22"/>
        </w:rPr>
        <w:t xml:space="preserve"> parallel array was added to HashTable. Because the table stores Customer objects by value (not pointers), there is no </w:t>
      </w:r>
      <w:r>
        <w:rPr>
          <w:rFonts w:ascii="Courier New" w:cs="Courier New" w:eastAsia="Courier New" w:hAnsi="Courier New"/>
          <w:b w:val="false"/>
          <w:bCs w:val="false"/>
          <w:sz w:val="18"/>
          <w:szCs w:val="18"/>
        </w:rPr>
        <w:t xml:space="preserve">nullptr</w:t>
      </w:r>
      <w:r>
        <w:rPr>
          <w:rFonts w:ascii="Arial" w:cs="Arial" w:eastAsia="Arial" w:hAnsi="Arial"/>
          <w:b w:val="false"/>
          <w:bCs w:val="false"/>
          <w:sz w:val="22"/>
          <w:szCs w:val="22"/>
        </w:rPr>
        <w:t xml:space="preserve"> to detect empty slots. The occupancy array fills that role: </w:t>
      </w:r>
      <w:r>
        <w:rPr>
          <w:rFonts w:ascii="Courier New" w:cs="Courier New" w:eastAsia="Courier New" w:hAnsi="Courier New"/>
          <w:b w:val="false"/>
          <w:bCs w:val="false"/>
          <w:sz w:val="18"/>
          <w:szCs w:val="18"/>
        </w:rPr>
        <w:t xml:space="preserve">insert()</w:t>
      </w:r>
      <w:r>
        <w:rPr>
          <w:rFonts w:ascii="Arial" w:cs="Arial" w:eastAsia="Arial" w:hAnsi="Arial"/>
          <w:b w:val="false"/>
          <w:bCs w:val="false"/>
          <w:sz w:val="22"/>
          <w:szCs w:val="22"/>
        </w:rPr>
        <w:t xml:space="preserve"> sets the flag when a slot is claimed; </w:t>
      </w:r>
      <w:r>
        <w:rPr>
          <w:rFonts w:ascii="Courier New" w:cs="Courier New" w:eastAsia="Courier New" w:hAnsi="Courier New"/>
          <w:b w:val="false"/>
          <w:bCs w:val="false"/>
          <w:sz w:val="18"/>
          <w:szCs w:val="18"/>
        </w:rPr>
        <w:t xml:space="preserve">find()</w:t>
      </w:r>
      <w:r>
        <w:rPr>
          <w:rFonts w:ascii="Arial" w:cs="Arial" w:eastAsia="Arial" w:hAnsi="Arial"/>
          <w:b w:val="false"/>
          <w:bCs w:val="false"/>
          <w:sz w:val="22"/>
          <w:szCs w:val="22"/>
        </w:rPr>
        <w:t xml:space="preserve"> stops probing at the first unoccupied slot. A companion </w:t>
      </w:r>
      <w:r>
        <w:rPr>
          <w:rFonts w:ascii="Courier New" w:cs="Courier New" w:eastAsia="Courier New" w:hAnsi="Courier New"/>
          <w:b w:val="false"/>
          <w:bCs w:val="false"/>
          <w:sz w:val="18"/>
          <w:szCs w:val="18"/>
        </w:rPr>
        <w:t xml:space="preserve">id = -1</w:t>
      </w:r>
      <w:r>
        <w:rPr>
          <w:rFonts w:ascii="Arial" w:cs="Arial" w:eastAsia="Arial" w:hAnsi="Arial"/>
          <w:b w:val="false"/>
          <w:bCs w:val="false"/>
          <w:sz w:val="22"/>
          <w:szCs w:val="22"/>
        </w:rPr>
        <w:t xml:space="preserve"> sentinel and </w:t>
      </w:r>
      <w:r>
        <w:rPr>
          <w:rFonts w:ascii="Courier New" w:cs="Courier New" w:eastAsia="Courier New" w:hAnsi="Courier New"/>
          <w:b w:val="false"/>
          <w:bCs w:val="false"/>
          <w:sz w:val="18"/>
          <w:szCs w:val="18"/>
        </w:rPr>
        <w:t xml:space="preserve">isValid()</w:t>
      </w:r>
      <w:r>
        <w:rPr>
          <w:rFonts w:ascii="Arial" w:cs="Arial" w:eastAsia="Arial" w:hAnsi="Arial"/>
          <w:b w:val="false"/>
          <w:bCs w:val="false"/>
          <w:sz w:val="22"/>
          <w:szCs w:val="22"/>
        </w:rPr>
        <w:t xml:space="preserve"> accessor were added to Customer for the same reason.</w:t>
      </w:r>
    </w:p>
    <w:p>
      <w:pPr>
        <w:spacing w:after="80" w:before="0"/>
      </w:pPr>
      <w:r>
        <w:t xml:space="preserve"/>
      </w:r>
    </w:p>
    <w:p>
      <w:pPr>
        <w:pStyle w:val="Heading2"/>
        <w:spacing w:after="120" w:before="240"/>
      </w:pPr>
      <w:r>
        <w:rPr>
          <w:rFonts w:ascii="Arial" w:cs="Arial" w:eastAsia="Arial" w:hAnsi="Arial"/>
          <w:b/>
          <w:bCs/>
          <w:sz w:val="24"/>
          <w:szCs w:val="24"/>
        </w:rPr>
        <w:t xml:space="preserve">2.6. BSTree Getters on Store</w:t>
      </w:r>
    </w:p>
    <w:p>
      <w:pPr>
        <w:spacing w:after="120" w:before="0"/>
      </w:pPr>
      <w:r>
        <w:rPr>
          <w:rFonts w:ascii="Arial" w:cs="Arial" w:eastAsia="Arial" w:hAnsi="Arial"/>
          <w:b w:val="false"/>
          <w:bCs w:val="false"/>
          <w:sz w:val="22"/>
          <w:szCs w:val="22"/>
        </w:rPr>
        <w:t xml:space="preserve">Three public accessors — </w:t>
      </w:r>
      <w:r>
        <w:rPr>
          <w:rFonts w:ascii="Courier New" w:cs="Courier New" w:eastAsia="Courier New" w:hAnsi="Courier New"/>
          <w:b w:val="false"/>
          <w:bCs w:val="false"/>
          <w:sz w:val="18"/>
          <w:szCs w:val="18"/>
        </w:rPr>
        <w:t xml:space="preserve">getComedyTree()</w:t>
      </w:r>
      <w:r>
        <w:rPr>
          <w:rFonts w:ascii="Arial" w:cs="Arial" w:eastAsia="Arial" w:hAnsi="Arial"/>
          <w:b w:val="false"/>
          <w:bCs w:val="false"/>
          <w:sz w:val="22"/>
          <w:szCs w:val="22"/>
        </w:rPr>
        <w:t xml:space="preserve">, </w:t>
      </w:r>
      <w:r>
        <w:rPr>
          <w:rFonts w:ascii="Courier New" w:cs="Courier New" w:eastAsia="Courier New" w:hAnsi="Courier New"/>
          <w:b w:val="false"/>
          <w:bCs w:val="false"/>
          <w:sz w:val="18"/>
          <w:szCs w:val="18"/>
        </w:rPr>
        <w:t xml:space="preserve">getDramaTree()</w:t>
      </w:r>
      <w:r>
        <w:rPr>
          <w:rFonts w:ascii="Arial" w:cs="Arial" w:eastAsia="Arial" w:hAnsi="Arial"/>
          <w:b w:val="false"/>
          <w:bCs w:val="false"/>
          <w:sz w:val="22"/>
          <w:szCs w:val="22"/>
        </w:rPr>
        <w:t xml:space="preserve">, </w:t>
      </w:r>
      <w:r>
        <w:rPr>
          <w:rFonts w:ascii="Courier New" w:cs="Courier New" w:eastAsia="Courier New" w:hAnsi="Courier New"/>
          <w:b w:val="false"/>
          <w:bCs w:val="false"/>
          <w:sz w:val="18"/>
          <w:szCs w:val="18"/>
        </w:rPr>
        <w:t xml:space="preserve">getClassicTree()</w:t>
      </w:r>
      <w:r>
        <w:rPr>
          <w:rFonts w:ascii="Arial" w:cs="Arial" w:eastAsia="Arial" w:hAnsi="Arial"/>
          <w:b w:val="false"/>
          <w:bCs w:val="false"/>
          <w:sz w:val="22"/>
          <w:szCs w:val="22"/>
        </w:rPr>
        <w:t xml:space="preserve"> — were added to Store so that </w:t>
      </w:r>
      <w:r>
        <w:rPr>
          <w:rFonts w:ascii="Courier New" w:cs="Courier New" w:eastAsia="Courier New" w:hAnsi="Courier New"/>
          <w:b w:val="false"/>
          <w:bCs w:val="false"/>
          <w:sz w:val="18"/>
          <w:szCs w:val="18"/>
        </w:rPr>
        <w:t xml:space="preserve">InventoryTxn::doTransaction()</w:t>
      </w:r>
      <w:r>
        <w:rPr>
          <w:rFonts w:ascii="Arial" w:cs="Arial" w:eastAsia="Arial" w:hAnsi="Arial"/>
          <w:b w:val="false"/>
          <w:bCs w:val="false"/>
          <w:sz w:val="22"/>
          <w:szCs w:val="22"/>
        </w:rPr>
        <w:t xml:space="preserve"> can call </w:t>
      </w:r>
      <w:r>
        <w:rPr>
          <w:rFonts w:ascii="Courier New" w:cs="Courier New" w:eastAsia="Courier New" w:hAnsi="Courier New"/>
          <w:b w:val="false"/>
          <w:bCs w:val="false"/>
          <w:sz w:val="18"/>
          <w:szCs w:val="18"/>
        </w:rPr>
        <w:t xml:space="preserve">inorderDisplay()</w:t>
      </w:r>
      <w:r>
        <w:rPr>
          <w:rFonts w:ascii="Arial" w:cs="Arial" w:eastAsia="Arial" w:hAnsi="Arial"/>
          <w:b w:val="false"/>
          <w:bCs w:val="false"/>
          <w:sz w:val="22"/>
          <w:szCs w:val="22"/>
        </w:rPr>
        <w:t xml:space="preserve"> on each tree. The original design had this logic inside the Store pseudocode directly; once Inventory became a separate class it required a public interface to the trees.</w:t>
      </w:r>
    </w:p>
    <w:p>
      <w:pPr>
        <w:spacing w:after="80" w:before="0"/>
      </w:pPr>
      <w:r>
        <w:t xml:space="preserve"/>
      </w:r>
    </w:p>
    <w:p>
      <w:pPr>
        <w:pStyle w:val="Heading2"/>
        <w:spacing w:after="120" w:before="240"/>
      </w:pPr>
      <w:r>
        <w:rPr>
          <w:rFonts w:ascii="Arial" w:cs="Arial" w:eastAsia="Arial" w:hAnsi="Arial"/>
          <w:b/>
          <w:bCs/>
          <w:sz w:val="24"/>
          <w:szCs w:val="24"/>
        </w:rPr>
        <w:t xml:space="preserve">2.7. Classic Out-of-Stock Suggestion Not Implemented</w:t>
      </w:r>
    </w:p>
    <w:p>
      <w:pPr>
        <w:spacing w:after="120" w:before="0"/>
      </w:pPr>
      <w:r>
        <w:rPr>
          <w:rFonts w:ascii="Arial" w:cs="Arial" w:eastAsia="Arial" w:hAnsi="Arial"/>
          <w:sz w:val="22"/>
          <w:szCs w:val="22"/>
        </w:rPr>
        <w:t xml:space="preserve">The design specified that a zero-stock Classic borrow should suggest other actor versions of the same title and date. This was not implemented. The program prints a standard out-of-stock error and continues. Implementing the suggestion would require a BSTree range scan over Classic nodes with matching year and month, a capability outside the current BSTree interface and deemed out of scope.</w:t>
      </w:r>
    </w:p>
    <w:p>
      <w:pPr>
        <w:spacing w:after="80" w:before="0"/>
      </w:pPr>
      <w:r>
        <w:t xml:space="preserve"/>
      </w:r>
    </w:p>
    <w:p>
      <w:r>
        <w:br w:type="page"/>
      </w:r>
    </w:p>
    <w:p>
      <w:pPr>
        <w:pStyle w:val="Heading1"/>
        <w:spacing w:after="160" w:before="360"/>
      </w:pPr>
      <w:r>
        <w:rPr>
          <w:rFonts w:ascii="Arial" w:cs="Arial" w:eastAsia="Arial" w:hAnsi="Arial"/>
          <w:b/>
          <w:bCs/>
          <w:sz w:val="28"/>
          <w:szCs w:val="28"/>
        </w:rPr>
        <w:t xml:space="preserve">3. Testing Results</w:t>
      </w:r>
    </w:p>
    <w:p>
      <w:pPr>
        <w:spacing w:after="120" w:before="0"/>
      </w:pPr>
      <w:r>
        <w:rPr>
          <w:rFonts w:ascii="Arial" w:cs="Arial" w:eastAsia="Arial" w:hAnsi="Arial"/>
          <w:sz w:val="22"/>
          <w:szCs w:val="22"/>
        </w:rPr>
        <w:t xml:space="preserve">Testing followed the implementation order: Movie / BSTree first, then HashTable and Customer, then the Transaction layer, and finally full end-to-end runs with the provided data files. The program was compiled with g++ -std=c++14.</w:t>
      </w:r>
    </w:p>
    <w:p>
      <w:pPr>
        <w:spacing w:after="80" w:before="0"/>
      </w:pPr>
      <w:r>
        <w:t xml:space="preserve"/>
      </w:r>
    </w:p>
    <w:p>
      <w:pPr>
        <w:pStyle w:val="Heading2"/>
        <w:spacing w:after="120" w:before="240"/>
      </w:pPr>
      <w:r>
        <w:rPr>
          <w:rFonts w:ascii="Arial" w:cs="Arial" w:eastAsia="Arial" w:hAnsi="Arial"/>
          <w:b/>
          <w:bCs/>
          <w:sz w:val="24"/>
          <w:szCs w:val="24"/>
        </w:rPr>
        <w:t xml:space="preserve">3.1. BSTree Sort Order and Stock Merge</w:t>
      </w:r>
    </w:p>
    <w:p>
      <w:pPr>
        <w:spacing w:after="120" w:before="0"/>
      </w:pPr>
      <w:r>
        <w:rPr>
          <w:rFonts w:ascii="Arial" w:cs="Arial" w:eastAsia="Arial" w:hAnsi="Arial"/>
          <w:sz w:val="22"/>
          <w:szCs w:val="22"/>
        </w:rPr>
        <w:t xml:space="preserve">Movies were inserted out of sorted order and inorderDisplay() was called to verify each genre's traversal. The same non-Classic title was also listed twice in data4movies.txt to confirm stock merging.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c>
          <w:tcPr>
            <w:tcW w:type="dxa" w:w="380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Scenario</w:t>
            </w:r>
          </w:p>
        </w:tc>
        <w:tc>
          <w:tcPr>
            <w:tcW w:type="dxa" w:w="340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Expected</w:t>
            </w:r>
          </w:p>
        </w:tc>
        <w:tc>
          <w:tcPr>
            <w:tcW w:type="dxa" w:w="216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Result</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Comedy inserted: Sleeper 1973, Annie Hall 1977, Annie Hall 1975</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Annie Hall 1975, Annie Hall 1977, Sleeper 1973</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Drama inserted: Good Will Hunting, Good Morning Vietnam, Dogfight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Dogfight, Good Morning Vietnam, Good Will Hunting</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Classic inserted: Ruth Gordon 3/1971, Cary Grant 9/1938, McDowell 2/1971</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Cary Grant 9/1938, McDowell 2/1971, Ruth Gordon 3/1971</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Same Comedy title in two input lines (5 + 5 stock)</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One node, stock = 10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Same Classic title, different actors (Cary Grant vs. Katherine Hepburn)</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Two separate nodes, stock = 10 each</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bl>
    <w:p>
      <w:pPr>
        <w:spacing w:after="80" w:before="0"/>
      </w:pPr>
      <w:r>
        <w:t xml:space="preserve"/>
      </w:r>
    </w:p>
    <w:p>
      <w:pPr>
        <w:pStyle w:val="Heading2"/>
        <w:spacing w:after="120" w:before="240"/>
      </w:pPr>
      <w:r>
        <w:rPr>
          <w:rFonts w:ascii="Arial" w:cs="Arial" w:eastAsia="Arial" w:hAnsi="Arial"/>
          <w:b/>
          <w:bCs/>
          <w:sz w:val="24"/>
          <w:szCs w:val="24"/>
        </w:rPr>
        <w:t xml:space="preserve">3.2. HashTable Collision and Retrieval</w:t>
      </w:r>
    </w:p>
    <w:p>
      <w:pPr>
        <w:spacing w:after="120" w:before="0"/>
      </w:pPr>
      <w:r>
        <w:rPr>
          <w:rFonts w:ascii="Arial" w:cs="Arial" w:eastAsia="Arial" w:hAnsi="Arial"/>
          <w:b w:val="false"/>
          <w:bCs w:val="false"/>
          <w:sz w:val="22"/>
          <w:szCs w:val="22"/>
        </w:rPr>
        <w:t xml:space="preserve">Customer IDs that collide under </w:t>
      </w:r>
      <w:r>
        <w:rPr>
          <w:rFonts w:ascii="Courier New" w:cs="Courier New" w:eastAsia="Courier New" w:hAnsi="Courier New"/>
          <w:b w:val="false"/>
          <w:bCs w:val="false"/>
          <w:sz w:val="18"/>
          <w:szCs w:val="18"/>
        </w:rPr>
        <w:t xml:space="preserve">id % 53</w:t>
      </w:r>
      <w:r>
        <w:rPr>
          <w:rFonts w:ascii="Arial" w:cs="Arial" w:eastAsia="Arial" w:hAnsi="Arial"/>
          <w:b w:val="false"/>
          <w:bCs w:val="false"/>
          <w:sz w:val="22"/>
          <w:szCs w:val="22"/>
        </w:rPr>
        <w:t xml:space="preserve"> were inserted together. All were retrievable by </w:t>
      </w:r>
      <w:r>
        <w:rPr>
          <w:rFonts w:ascii="Courier New" w:cs="Courier New" w:eastAsia="Courier New" w:hAnsi="Courier New"/>
          <w:b w:val="false"/>
          <w:bCs w:val="false"/>
          <w:sz w:val="18"/>
          <w:szCs w:val="18"/>
        </w:rPr>
        <w:t xml:space="preserve">find()</w:t>
      </w:r>
      <w:r>
        <w:rPr>
          <w:rFonts w:ascii="Arial" w:cs="Arial" w:eastAsia="Arial" w:hAnsi="Arial"/>
          <w:b w:val="false"/>
          <w:bCs w:val="false"/>
          <w:sz w:val="22"/>
          <w:szCs w:val="22"/>
        </w:rPr>
        <w:t xml:space="preserve"> with no cross-contamination. Querying an ID not in the table (e.g. 9999) returned </w:t>
      </w:r>
      <w:r>
        <w:rPr>
          <w:rFonts w:ascii="Courier New" w:cs="Courier New" w:eastAsia="Courier New" w:hAnsi="Courier New"/>
          <w:b w:val="false"/>
          <w:bCs w:val="false"/>
          <w:sz w:val="18"/>
          <w:szCs w:val="18"/>
        </w:rPr>
        <w:t xml:space="preserve">nullptr</w:t>
      </w:r>
      <w:r>
        <w:rPr>
          <w:rFonts w:ascii="Arial" w:cs="Arial" w:eastAsia="Arial" w:hAnsi="Arial"/>
          <w:b w:val="false"/>
          <w:bCs w:val="false"/>
          <w:sz w:val="22"/>
          <w:szCs w:val="22"/>
        </w:rPr>
        <w:t xml:space="preserve">.</w:t>
      </w:r>
    </w:p>
    <w:p>
      <w:pPr>
        <w:spacing w:after="80" w:before="0"/>
      </w:pPr>
      <w:r>
        <w:t xml:space="preserve"/>
      </w:r>
    </w:p>
    <w:p>
      <w:pPr>
        <w:pStyle w:val="Heading2"/>
        <w:spacing w:after="120" w:before="240"/>
      </w:pPr>
      <w:r>
        <w:rPr>
          <w:rFonts w:ascii="Arial" w:cs="Arial" w:eastAsia="Arial" w:hAnsi="Arial"/>
          <w:b/>
          <w:bCs/>
          <w:sz w:val="24"/>
          <w:szCs w:val="24"/>
        </w:rPr>
        <w:t xml:space="preserve">3.3. Borrow and Return Transaction 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Scenario</w:t>
            </w:r>
          </w:p>
        </w:tc>
        <w:tc>
          <w:tcPr>
            <w:tcW w:type="dxa" w:w="320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Expected</w:t>
            </w:r>
          </w:p>
        </w:tc>
        <w:tc>
          <w:tcPr>
            <w:tcW w:type="dxa" w:w="216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Result</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Valid borrow (customer 5000, Ruth Gordon Classic)</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Stock -1; Borrow entry in history</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Valid return after borrow</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Stock +1; Return entry in history</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Borrow when stock = 0 (Ruth Gordon, stock exhausted)</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printed; history unchanged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Return with no outstanding borrow (customer 8000, You've Got Mail)</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printed; stock unchanged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Borrow → return → borrow again (three cycles, customer 5000)</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All succeed; stock tracks correctly</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PASS</w:t>
            </w:r>
          </w:p>
        </w:tc>
      </w:tr>
    </w:tbl>
    <w:p>
      <w:pPr>
        <w:spacing w:after="80" w:before="0"/>
      </w:pPr>
      <w:r>
        <w:t xml:space="preserve"/>
      </w:r>
    </w:p>
    <w:p>
      <w:pPr>
        <w:pStyle w:val="Heading2"/>
        <w:spacing w:after="120" w:before="240"/>
      </w:pPr>
      <w:r>
        <w:rPr>
          <w:rFonts w:ascii="Arial" w:cs="Arial" w:eastAsia="Arial" w:hAnsi="Arial"/>
          <w:b/>
          <w:bCs/>
          <w:sz w:val="24"/>
          <w:szCs w:val="24"/>
        </w:rPr>
        <w:t xml:space="preserve">3.4. Inventory and History Output</w:t>
      </w:r>
    </w:p>
    <w:p>
      <w:pPr>
        <w:spacing w:after="120" w:before="0"/>
      </w:pPr>
      <w:r>
        <w:rPr>
          <w:rFonts w:ascii="Arial" w:cs="Arial" w:eastAsia="Arial" w:hAnsi="Arial"/>
          <w:sz w:val="22"/>
          <w:szCs w:val="22"/>
        </w:rPr>
        <w:t xml:space="preserve">Two I commands were issued: one before any borrowing and one at the end. The first printed all stocks at 10; the second reflected all decrements. Sort order was correct for all three genres. Sample output from the final inventory call: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Classics:</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C 9 9 1938 Cary Grant, Holiday, George Cukor</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C 0 3 1971 Ruth Gordon, Harold and Maude, Hal Ashby</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w:t>
            </w:r>
          </w:p>
        </w:tc>
      </w:tr>
    </w:tbl>
    <w:p>
      <w:pPr>
        <w:spacing w:after="80" w:before="0"/>
      </w:pPr>
      <w:r>
        <w:t xml:space="preserve"/>
      </w:r>
    </w:p>
    <w:p>
      <w:pPr>
        <w:spacing w:after="120" w:before="0"/>
      </w:pPr>
      <w:r>
        <w:rPr>
          <w:rFonts w:ascii="Arial" w:cs="Arial" w:eastAsia="Arial" w:hAnsi="Arial"/>
          <w:sz w:val="22"/>
          <w:szCs w:val="22"/>
        </w:rPr>
        <w:t xml:space="preserve">H was called for five customers. History printed newest-first with correct Borrow / Return labels. Customers with no transactions at the time of the call printed only the header line without crashing.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Customer 1000 Mouse Minnie:</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Borrow  F Fargo, 1996</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Borrow  C 3 1971 Ruth Gordon, Harold and Maude</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Borrow  D Barry Levinson, Good Morning Vietnam</w:t>
            </w:r>
          </w:p>
        </w:tc>
      </w:tr>
      <w:tr>
        <w:tc>
          <w:tcPr>
            <w:tcW w:type="dxa" w:w="9360"/>
            <w:tcBorders>
              <w:top w:val="single" w:color="AAAAAA" w:sz="4"/>
              <w:left w:val="single" w:color="AAAAAA" w:sz="4"/>
              <w:bottom w:val="single" w:color="AAAAAA" w:sz="4"/>
              <w:right w:val="single" w:color="AAAAAA" w:sz="4"/>
            </w:tcBorders>
            <w:shd w:fill="F2F2F2" w:val="clear"/>
            <w:tcMar>
              <w:top w:type="dxa" w:w="40"/>
              <w:left w:type="dxa" w:w="120"/>
              <w:bottom w:type="dxa" w:w="40"/>
              <w:right w:type="dxa" w:w="120"/>
            </w:tcMar>
          </w:tcPr>
          <w:p>
            <w:pPr>
              <w:spacing w:after="0" w:before="0"/>
            </w:pPr>
            <w:r>
              <w:rPr>
                <w:rFonts w:ascii="Courier New" w:cs="Courier New" w:eastAsia="Courier New" w:hAnsi="Courier New"/>
                <w:sz w:val="18"/>
                <w:szCs w:val="18"/>
              </w:rPr>
              <w:t xml:space="preserve">...</w:t>
            </w:r>
          </w:p>
        </w:tc>
      </w:tr>
    </w:tbl>
    <w:p>
      <w:pPr>
        <w:spacing w:after="80" w:before="0"/>
      </w:pPr>
      <w:r>
        <w:t xml:space="preserve"/>
      </w:r>
    </w:p>
    <w:p>
      <w:pPr>
        <w:pStyle w:val="Heading2"/>
        <w:spacing w:after="120" w:before="240"/>
      </w:pPr>
      <w:r>
        <w:rPr>
          <w:rFonts w:ascii="Arial" w:cs="Arial" w:eastAsia="Arial" w:hAnsi="Arial"/>
          <w:b/>
          <w:bCs/>
          <w:sz w:val="24"/>
          <w:szCs w:val="24"/>
        </w:rPr>
        <w:t xml:space="preserve">3.5. Error Handling</w:t>
      </w:r>
    </w:p>
    <w:p>
      <w:pPr>
        <w:spacing w:after="120" w:before="0"/>
      </w:pPr>
      <w:r>
        <w:rPr>
          <w:rFonts w:ascii="Arial" w:cs="Arial" w:eastAsia="Arial" w:hAnsi="Arial"/>
          <w:sz w:val="22"/>
          <w:szCs w:val="22"/>
        </w:rPr>
        <w:t xml:space="preserve">The command file included intentionally bad inputs covering every error case from the spec. The program printed the correct message for each and continued processing in all cases.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Error Case</w:t>
            </w:r>
          </w:p>
        </w:tc>
        <w:tc>
          <w:tcPr>
            <w:tcW w:type="dxa" w:w="280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Input</w:t>
            </w:r>
          </w:p>
        </w:tc>
        <w:tc>
          <w:tcPr>
            <w:tcW w:type="dxa" w:w="4160"/>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tcPr>
          <w:p>
            <w:pPr>
              <w:spacing w:after="0" w:before="0"/>
            </w:pPr>
            <w:r>
              <w:rPr>
                <w:rFonts w:ascii="Arial" w:cs="Arial" w:eastAsia="Arial" w:hAnsi="Arial"/>
                <w:b/>
                <w:bCs/>
                <w:sz w:val="22"/>
                <w:szCs w:val="22"/>
              </w:rPr>
              <w:t xml:space="preserve">Output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Unknown genre in movies file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Z genre code</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Invalid movie type 'Z' — discarding line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Unknown action code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X or Z command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Unknown action code 'X' — discarding command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Customer not found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 9999 ... / B 1234 ...</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Customer 9999 not found — discarding command</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Movie not in inventory</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 1000 D F Bogus Title, 2001</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Movie not in inventory: F Bogus Title, 2001</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Out of stock</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Borrows exhausting Ruth Gordon stock</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Out of stock: C 3 1971 Ruth Gordon, Harold and Maude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Invalid movie type in command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B 1111 D Z ...</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ERROR: Invalid movie type 'Z' — discarding command</w:t>
            </w:r>
          </w:p>
        </w:tc>
      </w:tr>
    </w:tbl>
    <w:p>
      <w:pPr>
        <w:spacing w:after="80" w:before="0"/>
      </w:pPr>
      <w:r>
        <w:t xml:space="preserve"/>
      </w:r>
    </w:p>
    <w:p>
      <w:pPr>
        <w:pStyle w:val="Heading2"/>
        <w:spacing w:after="120" w:before="240"/>
      </w:pPr>
      <w:r>
        <w:rPr>
          <w:rFonts w:ascii="Arial" w:cs="Arial" w:eastAsia="Arial" w:hAnsi="Arial"/>
          <w:b/>
          <w:bCs/>
          <w:sz w:val="24"/>
          <w:szCs w:val="24"/>
        </w:rPr>
        <w:t xml:space="preserve">3.6. Edge Cases</w:t>
      </w:r>
    </w:p>
    <w:p>
      <w:pPr>
        <w:spacing w:after="120" w:before="0"/>
      </w:pPr>
      <w:r>
        <w:rPr>
          <w:rFonts w:ascii="Arial" w:cs="Arial" w:eastAsia="Arial" w:hAnsi="Arial"/>
          <w:sz w:val="22"/>
          <w:szCs w:val="22"/>
        </w:rPr>
        <w:t xml:space="preserve">Classic movies with the same title but different actors (e.g., Holiday 1938 with Cary Grant vs. Katherine Hepburn) were stored as separate nodes with independent stock counts. Borrowing one had no effect on the other.</w:t>
      </w:r>
    </w:p>
    <w:p>
      <w:pPr>
        <w:spacing w:after="120" w:before="0"/>
      </w:pPr>
      <w:r>
        <w:rPr>
          <w:rFonts w:ascii="Arial" w:cs="Arial" w:eastAsia="Arial" w:hAnsi="Arial"/>
          <w:sz w:val="22"/>
          <w:szCs w:val="22"/>
        </w:rPr>
        <w:t xml:space="preserve">Customer 8000 attempted to return You've Got Mail before re-borrowing it. Since the net borrow count was zero at that point, the return was correctly rejected. The movie was successfully borrowed again immediately after.</w:t>
      </w:r>
    </w:p>
    <w:p>
      <w:pPr>
        <w:spacing w:after="120" w:before="0"/>
      </w:pPr>
      <w:r>
        <w:rPr>
          <w:rFonts w:ascii="Arial" w:cs="Arial" w:eastAsia="Arial" w:hAnsi="Arial"/>
          <w:sz w:val="22"/>
          <w:szCs w:val="22"/>
        </w:rPr>
        <w:t xml:space="preserve">H called before any transactions had been recorded printed only the customer header with no entries below it — no crash, no spurious output.</w:t>
      </w:r>
    </w:p>
    <w:p>
      <w:pPr>
        <w:spacing w:after="80" w:before="0"/>
      </w:pPr>
      <w:r>
        <w:t xml:space="preserve"/>
      </w:r>
    </w:p>
    <w:p>
      <w:r>
        <w:br w:type="page"/>
      </w:r>
    </w:p>
    <w:p>
      <w:pPr>
        <w:pStyle w:val="Heading1"/>
        <w:spacing w:after="160" w:before="360"/>
      </w:pPr>
      <w:r>
        <w:rPr>
          <w:rFonts w:ascii="Arial" w:cs="Arial" w:eastAsia="Arial" w:hAnsi="Arial"/>
          <w:b/>
          <w:bCs/>
          <w:sz w:val="28"/>
          <w:szCs w:val="28"/>
        </w:rPr>
        <w:t xml:space="preserve">4. Conclusion</w:t>
      </w:r>
    </w:p>
    <w:p>
      <w:pPr>
        <w:spacing w:after="120" w:before="0"/>
      </w:pPr>
      <w:r>
        <w:rPr>
          <w:rFonts w:ascii="Arial" w:cs="Arial" w:eastAsia="Arial" w:hAnsi="Arial"/>
          <w:sz w:val="22"/>
          <w:szCs w:val="22"/>
        </w:rPr>
        <w:t xml:space="preserve">The implementation successfully realized the movie rental inventory system. All four transaction types execute correctly, the three genre BSTs maintain their distinct sort orders, the hash table resolves collisions without data loss, and every class of bad input is handled gracefully.</w:t>
      </w:r>
    </w:p>
    <w:p>
      <w:pPr>
        <w:spacing w:after="80" w:before="0"/>
      </w:pPr>
      <w:r>
        <w:t xml:space="preserve"/>
      </w:r>
    </w:p>
    <w:p>
      <w:pPr>
        <w:pStyle w:val="Heading2"/>
        <w:spacing w:after="120" w:before="240"/>
      </w:pPr>
      <w:r>
        <w:rPr>
          <w:rFonts w:ascii="Arial" w:cs="Arial" w:eastAsia="Arial" w:hAnsi="Arial"/>
          <w:b/>
          <w:bCs/>
          <w:sz w:val="24"/>
          <w:szCs w:val="24"/>
        </w:rPr>
        <w:t xml:space="preserve">4.1. Key Observations</w:t>
      </w:r>
    </w:p>
    <w:p>
      <w:pPr>
        <w:spacing w:after="120" w:before="0"/>
      </w:pPr>
      <w:r>
        <w:rPr>
          <w:rFonts w:ascii="Arial" w:cs="Arial" w:eastAsia="Arial" w:hAnsi="Arial"/>
          <w:sz w:val="22"/>
          <w:szCs w:val="22"/>
        </w:rPr>
        <w:t xml:space="preserve">The most impactful change from the original design was splitting Movie's single setData() into setData() for inventory parsing and setSearchKey() for command parsing. Command lines and inventory lines carry different field sets, and a shared parser produced silent failures. Separating the two paths eliminated an entire category of parsing bugs.</w:t>
      </w:r>
    </w:p>
    <w:p>
      <w:pPr>
        <w:spacing w:after="120" w:before="0"/>
      </w:pPr>
      <w:r>
        <w:rPr>
          <w:rFonts w:ascii="Arial" w:cs="Arial" w:eastAsia="Arial" w:hAnsi="Arial"/>
          <w:sz w:val="22"/>
          <w:szCs w:val="22"/>
        </w:rPr>
        <w:t xml:space="preserve">Storing Customer objects by value in the HashTable avoids per-slot heap allocation but removes the nullptr sentinel that pointer-based probing relies on. A parallel occupied[] array and an id = -1 sentinel on Customer were small additions that restored correct empty-slot detection without changing the storage model.</w:t>
      </w:r>
    </w:p>
    <w:p>
      <w:pPr>
        <w:spacing w:after="120" w:before="0"/>
      </w:pPr>
      <w:r>
        <w:rPr>
          <w:rFonts w:ascii="Arial" w:cs="Arial" w:eastAsia="Arial" w:hAnsi="Arial"/>
          <w:b w:val="false"/>
          <w:bCs w:val="false"/>
          <w:sz w:val="22"/>
          <w:szCs w:val="22"/>
        </w:rPr>
        <w:t xml:space="preserve">Lifting </w:t>
      </w:r>
      <w:r>
        <w:rPr>
          <w:rFonts w:ascii="Courier New" w:cs="Courier New" w:eastAsia="Courier New" w:hAnsi="Courier New"/>
          <w:b w:val="false"/>
          <w:bCs w:val="false"/>
          <w:sz w:val="18"/>
          <w:szCs w:val="18"/>
        </w:rPr>
        <w:t xml:space="preserve">Movie* movie</w:t>
      </w:r>
      <w:r>
        <w:rPr>
          <w:rFonts w:ascii="Arial" w:cs="Arial" w:eastAsia="Arial" w:hAnsi="Arial"/>
          <w:b w:val="false"/>
          <w:bCs w:val="false"/>
          <w:sz w:val="22"/>
          <w:szCs w:val="22"/>
        </w:rPr>
        <w:t xml:space="preserve"> and the action accessor to the Transaction base class eliminated downcasting in </w:t>
      </w:r>
      <w:r>
        <w:rPr>
          <w:rFonts w:ascii="Courier New" w:cs="Courier New" w:eastAsia="Courier New" w:hAnsi="Courier New"/>
          <w:b w:val="false"/>
          <w:bCs w:val="false"/>
          <w:sz w:val="18"/>
          <w:szCs w:val="18"/>
        </w:rPr>
        <w:t xml:space="preserve">Customer::hasOutstanding()</w:t>
      </w:r>
      <w:r>
        <w:rPr>
          <w:rFonts w:ascii="Arial" w:cs="Arial" w:eastAsia="Arial" w:hAnsi="Arial"/>
          <w:b w:val="false"/>
          <w:bCs w:val="false"/>
          <w:sz w:val="22"/>
          <w:szCs w:val="22"/>
        </w:rPr>
        <w:t xml:space="preserve"> and </w:t>
      </w:r>
      <w:r>
        <w:rPr>
          <w:rFonts w:ascii="Courier New" w:cs="Courier New" w:eastAsia="Courier New" w:hAnsi="Courier New"/>
          <w:b w:val="false"/>
          <w:bCs w:val="false"/>
          <w:sz w:val="18"/>
          <w:szCs w:val="18"/>
        </w:rPr>
        <w:t xml:space="preserve">Store::processCommands()</w:t>
      </w:r>
      <w:r>
        <w:rPr>
          <w:rFonts w:ascii="Arial" w:cs="Arial" w:eastAsia="Arial" w:hAnsi="Arial"/>
          <w:b w:val="false"/>
          <w:bCs w:val="false"/>
          <w:sz w:val="22"/>
          <w:szCs w:val="22"/>
        </w:rPr>
        <w:t xml:space="preserve">. Shared data belongs at the lowest common ancestor.</w:t>
      </w:r>
    </w:p>
    <w:p>
      <w:pPr>
        <w:spacing w:after="120" w:before="0"/>
      </w:pPr>
      <w:r>
        <w:rPr>
          <w:rFonts w:ascii="Arial" w:cs="Arial" w:eastAsia="Arial" w:hAnsi="Arial"/>
          <w:sz w:val="22"/>
          <w:szCs w:val="22"/>
        </w:rPr>
        <w:t xml:space="preserve">The Classic genre required the most careful implementation. Its two extra fields, per-actor-version stock, and abbreviated command-line format introduced the most edge cases, all of which were resolved through separate operator== and setSearchKey() logic.</w:t>
      </w:r>
    </w:p>
    <w:p>
      <w:pPr>
        <w:spacing w:after="80" w:before="0"/>
      </w:pPr>
      <w:r>
        <w:t xml:space="preserve"/>
      </w:r>
    </w:p>
    <w:p>
      <w:pPr>
        <w:pStyle w:val="Heading2"/>
        <w:spacing w:after="120" w:before="240"/>
      </w:pPr>
      <w:r>
        <w:rPr>
          <w:rFonts w:ascii="Arial" w:cs="Arial" w:eastAsia="Arial" w:hAnsi="Arial"/>
          <w:b/>
          <w:bCs/>
          <w:sz w:val="24"/>
          <w:szCs w:val="24"/>
        </w:rPr>
        <w:t xml:space="preserve">4.2. Lessons Learned</w:t>
      </w:r>
    </w:p>
    <w:p>
      <w:pPr>
        <w:spacing w:after="120" w:before="0"/>
      </w:pPr>
      <w:r>
        <w:rPr>
          <w:rFonts w:ascii="Arial" w:cs="Arial" w:eastAsia="Arial" w:hAnsi="Arial"/>
          <w:sz w:val="22"/>
          <w:szCs w:val="22"/>
        </w:rPr>
        <w:t xml:space="preserve">Pseudocode-level designs expose control flow but tend to underspecify input format boundaries. Enumerating the exact field sequences for both inventory lines and command lines per genre would have surfaced the setData/setSearchKey split earlier.</w:t>
      </w:r>
    </w:p>
    <w:p>
      <w:pPr>
        <w:spacing w:after="120" w:before="0"/>
      </w:pPr>
      <w:r>
        <w:rPr>
          <w:rFonts w:ascii="Arial" w:cs="Arial" w:eastAsia="Arial" w:hAnsi="Arial"/>
          <w:sz w:val="22"/>
          <w:szCs w:val="22"/>
        </w:rPr>
        <w:t xml:space="preserve">The value-based HashTable is worth keeping, but its implications for empty-slot detection should be documented explicitly in the design rather than discovered during implementation.</w:t>
      </w:r>
    </w:p>
    <w:p>
      <w:pPr>
        <w:spacing w:after="120" w:before="0"/>
      </w:pPr>
      <w:r>
        <w:rPr>
          <w:rFonts w:ascii="Arial" w:cs="Arial" w:eastAsia="Arial" w:hAnsi="Arial"/>
          <w:sz w:val="22"/>
          <w:szCs w:val="22"/>
        </w:rPr>
        <w:t xml:space="preserve">Testing error paths early — before the happy path is complete — helps catch ownership and memory-management issues sooner. The success path gets tested naturally; the failure paths require deliberate coverage.</w:t>
      </w:r>
    </w:p>
    <w:p>
      <w:pPr>
        <w:spacing w:after="8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2026-06-06T22:39:02.098Z</dcterms:created>
  <dcterms:modified xsi:type="dcterms:W3CDTF">2026-06-06T22:39:02.098Z</dcterms:modified>
</cp:coreProperties>
</file>

<file path=docProps/custom.xml><?xml version="1.0" encoding="utf-8"?>
<Properties xmlns="http://schemas.openxmlformats.org/officeDocument/2006/custom-properties" xmlns:vt="http://schemas.openxmlformats.org/officeDocument/2006/docPropsVTypes"/>
</file>