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Deskripsi use case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0" w:lineRule="auto"/>
        <w:jc w:val="both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4qrjq53k4erl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Melihat Informasi Cuaca: Agar petani tahu cuaca hari ini/ke depan gimana. Jadi mereka gak salah jadwal nyiram atau mupuk. Petani harus login dulu ke aplikasi AgriGenZ.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  <w:t xml:space="preserve">Melihat Informasi Hama: Agar petani mendapat edukasi/info kalau tanaman mereka diserang serangga atau penyakit.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Konsultasi: Tempat untuk buat petani nanya-nanya atau curhat masalah pertanian mereka.</w:t>
      </w:r>
    </w:p>
    <w:p w:rsidR="00000000" w:rsidDel="00000000" w:rsidP="00000000" w:rsidRDefault="00000000" w:rsidRPr="00000000" w14:paraId="00000007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Melihat Riwayat Aktivitas: agar petani bisa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flashback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melihat apa aja yang udah mereka lakuin ke lahannya. </w:t>
      </w:r>
    </w:p>
    <w:sectPr>
      <w:pgSz w:h="15840" w:w="12240" w:orient="portrait"/>
      <w:pgMar w:bottom="1700.7874015748032" w:top="1700.787401574803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