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6C19A" w14:textId="77777777" w:rsidR="00CF1B8E" w:rsidRDefault="00CF1B8E"/>
    <w:p w14:paraId="0A378434" w14:textId="77777777" w:rsidR="00AD477A" w:rsidRPr="00AD477A" w:rsidRDefault="00AD477A" w:rsidP="00AD47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AD477A">
        <w:rPr>
          <w:rFonts w:ascii="Times New Roman" w:eastAsia="Times New Roman" w:hAnsi="Times New Roman" w:cs="Times New Roman"/>
          <w:b/>
          <w:bCs/>
          <w:kern w:val="0"/>
          <w:sz w:val="27"/>
          <w:szCs w:val="27"/>
          <w:lang w:eastAsia="en-AE"/>
          <w14:ligatures w14:val="none"/>
        </w:rPr>
        <w:t>Pig Launchers &amp; Receivers</w:t>
      </w:r>
    </w:p>
    <w:p w14:paraId="0ED7754B" w14:textId="77777777" w:rsidR="00AD477A" w:rsidRDefault="00AD477A" w:rsidP="00AD477A">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AD477A">
        <w:rPr>
          <w:rFonts w:ascii="Times New Roman" w:eastAsia="Times New Roman" w:hAnsi="Times New Roman" w:cs="Times New Roman"/>
          <w:kern w:val="0"/>
          <w:sz w:val="24"/>
          <w:szCs w:val="24"/>
          <w:lang w:eastAsia="en-AE"/>
          <w14:ligatures w14:val="none"/>
        </w:rPr>
        <w:t>LINESIG Pig Launchers and Receivers are engineered as complete pipeline pigging stations for safe launching, receiving, isolation, depressurization and controlled handling of cleaning, batching and inspection pigs across oil, gas and refined-product pipelines. Heavy-duty pressure-retaining construction, quick-opening closure arrangements, drain and vent provisions, pig signal interfaces, isolation philosophy and project-specific materials allow each system to be configured for cross-country pipelines, terminals, refineries, marine facilities and transfer networks where reliable pigging operations and maintainable station layout are essential.</w:t>
      </w:r>
    </w:p>
    <w:p w14:paraId="01D9FFBC" w14:textId="320DC625" w:rsidR="00947238" w:rsidRDefault="00947238" w:rsidP="00AD477A">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Pr>
          <w:rFonts w:ascii="Times New Roman" w:eastAsia="Times New Roman" w:hAnsi="Times New Roman" w:cs="Times New Roman"/>
          <w:noProof/>
          <w:kern w:val="0"/>
          <w:sz w:val="24"/>
          <w:szCs w:val="24"/>
          <w:lang w:eastAsia="en-AE"/>
        </w:rPr>
        <w:drawing>
          <wp:inline distT="0" distB="0" distL="0" distR="0" wp14:anchorId="55775694" wp14:editId="07D34B99">
            <wp:extent cx="5495925" cy="4124325"/>
            <wp:effectExtent l="0" t="0" r="0" b="0"/>
            <wp:docPr id="11687056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05688" name="Picture 1168705688"/>
                    <pic:cNvPicPr/>
                  </pic:nvPicPr>
                  <pic:blipFill>
                    <a:blip r:embed="rId4">
                      <a:extLst>
                        <a:ext uri="{28A0092B-C50C-407E-A947-70E740481C1C}">
                          <a14:useLocalDpi xmlns:a14="http://schemas.microsoft.com/office/drawing/2010/main" val="0"/>
                        </a:ext>
                      </a:extLst>
                    </a:blip>
                    <a:stretch>
                      <a:fillRect/>
                    </a:stretch>
                  </pic:blipFill>
                  <pic:spPr>
                    <a:xfrm>
                      <a:off x="0" y="0"/>
                      <a:ext cx="5495925" cy="4124325"/>
                    </a:xfrm>
                    <a:prstGeom prst="rect">
                      <a:avLst/>
                    </a:prstGeom>
                  </pic:spPr>
                </pic:pic>
              </a:graphicData>
            </a:graphic>
          </wp:inline>
        </w:drawing>
      </w:r>
    </w:p>
    <w:p w14:paraId="3774D626" w14:textId="24E57728" w:rsidR="00AD477A" w:rsidRPr="00AD477A" w:rsidRDefault="00AD477A" w:rsidP="00AD477A">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Pr>
          <w:rFonts w:ascii="Times New Roman" w:eastAsia="Times New Roman" w:hAnsi="Times New Roman" w:cs="Times New Roman"/>
          <w:noProof/>
          <w:kern w:val="0"/>
          <w:sz w:val="24"/>
          <w:szCs w:val="24"/>
          <w:lang w:eastAsia="en-AE"/>
        </w:rPr>
        <w:lastRenderedPageBreak/>
        <w:drawing>
          <wp:inline distT="0" distB="0" distL="0" distR="0" wp14:anchorId="1218ED03" wp14:editId="5A1F3C92">
            <wp:extent cx="6120130" cy="3444240"/>
            <wp:effectExtent l="0" t="0" r="0" b="3810"/>
            <wp:docPr id="201140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06601" name="Picture 20114066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130" cy="3444240"/>
                    </a:xfrm>
                    <a:prstGeom prst="rect">
                      <a:avLst/>
                    </a:prstGeom>
                  </pic:spPr>
                </pic:pic>
              </a:graphicData>
            </a:graphic>
          </wp:inline>
        </w:drawing>
      </w:r>
    </w:p>
    <w:p w14:paraId="7ABB6CC6" w14:textId="77777777" w:rsidR="00AD477A" w:rsidRPr="00AD477A" w:rsidRDefault="00AD477A" w:rsidP="00AD47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AD477A">
        <w:rPr>
          <w:rFonts w:ascii="Times New Roman" w:eastAsia="Times New Roman" w:hAnsi="Times New Roman" w:cs="Times New Roman"/>
          <w:b/>
          <w:bCs/>
          <w:kern w:val="0"/>
          <w:sz w:val="27"/>
          <w:szCs w:val="27"/>
          <w:lang w:eastAsia="en-AE"/>
          <w14:ligatures w14:val="none"/>
        </w:rPr>
        <w:t xml:space="preserve">Bi-Directional Pig </w:t>
      </w:r>
      <w:proofErr w:type="spellStart"/>
      <w:r w:rsidRPr="00AD477A">
        <w:rPr>
          <w:rFonts w:ascii="Times New Roman" w:eastAsia="Times New Roman" w:hAnsi="Times New Roman" w:cs="Times New Roman"/>
          <w:b/>
          <w:bCs/>
          <w:kern w:val="0"/>
          <w:sz w:val="27"/>
          <w:szCs w:val="27"/>
          <w:lang w:eastAsia="en-AE"/>
          <w14:ligatures w14:val="none"/>
        </w:rPr>
        <w:t>Signalers</w:t>
      </w:r>
      <w:proofErr w:type="spellEnd"/>
    </w:p>
    <w:p w14:paraId="0348E06B" w14:textId="77777777" w:rsidR="00AD477A" w:rsidRDefault="00AD477A" w:rsidP="00AD477A">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AD477A">
        <w:rPr>
          <w:rFonts w:ascii="Times New Roman" w:eastAsia="Times New Roman" w:hAnsi="Times New Roman" w:cs="Times New Roman"/>
          <w:kern w:val="0"/>
          <w:sz w:val="24"/>
          <w:szCs w:val="24"/>
          <w:lang w:eastAsia="en-AE"/>
          <w14:ligatures w14:val="none"/>
        </w:rPr>
        <w:t xml:space="preserve">LINESIG Bi-Directional Pig </w:t>
      </w:r>
      <w:proofErr w:type="spellStart"/>
      <w:r w:rsidRPr="00AD477A">
        <w:rPr>
          <w:rFonts w:ascii="Times New Roman" w:eastAsia="Times New Roman" w:hAnsi="Times New Roman" w:cs="Times New Roman"/>
          <w:kern w:val="0"/>
          <w:sz w:val="24"/>
          <w:szCs w:val="24"/>
          <w:lang w:eastAsia="en-AE"/>
          <w14:ligatures w14:val="none"/>
        </w:rPr>
        <w:t>Signalers</w:t>
      </w:r>
      <w:proofErr w:type="spellEnd"/>
      <w:r w:rsidRPr="00AD477A">
        <w:rPr>
          <w:rFonts w:ascii="Times New Roman" w:eastAsia="Times New Roman" w:hAnsi="Times New Roman" w:cs="Times New Roman"/>
          <w:kern w:val="0"/>
          <w:sz w:val="24"/>
          <w:szCs w:val="24"/>
          <w:lang w:eastAsia="en-AE"/>
          <w14:ligatures w14:val="none"/>
        </w:rPr>
        <w:t xml:space="preserve"> provide positive confirmation of pig passage in either pipeline direction and are available as </w:t>
      </w:r>
      <w:r w:rsidRPr="00AD477A">
        <w:rPr>
          <w:rFonts w:ascii="Times New Roman" w:eastAsia="Times New Roman" w:hAnsi="Times New Roman" w:cs="Times New Roman"/>
          <w:b/>
          <w:bCs/>
          <w:kern w:val="0"/>
          <w:sz w:val="24"/>
          <w:szCs w:val="24"/>
          <w:lang w:eastAsia="en-AE"/>
          <w14:ligatures w14:val="none"/>
        </w:rPr>
        <w:t>Flag Type</w:t>
      </w:r>
      <w:r w:rsidRPr="00AD477A">
        <w:rPr>
          <w:rFonts w:ascii="Times New Roman" w:eastAsia="Times New Roman" w:hAnsi="Times New Roman" w:cs="Times New Roman"/>
          <w:kern w:val="0"/>
          <w:sz w:val="24"/>
          <w:szCs w:val="24"/>
          <w:lang w:eastAsia="en-AE"/>
          <w14:ligatures w14:val="none"/>
        </w:rPr>
        <w:t xml:space="preserve"> for local mechanical indication or </w:t>
      </w:r>
      <w:r w:rsidRPr="00AD477A">
        <w:rPr>
          <w:rFonts w:ascii="Times New Roman" w:eastAsia="Times New Roman" w:hAnsi="Times New Roman" w:cs="Times New Roman"/>
          <w:b/>
          <w:bCs/>
          <w:kern w:val="0"/>
          <w:sz w:val="24"/>
          <w:szCs w:val="24"/>
          <w:lang w:eastAsia="en-AE"/>
          <w14:ligatures w14:val="none"/>
        </w:rPr>
        <w:t>Dual Type</w:t>
      </w:r>
      <w:r w:rsidRPr="00AD477A">
        <w:rPr>
          <w:rFonts w:ascii="Times New Roman" w:eastAsia="Times New Roman" w:hAnsi="Times New Roman" w:cs="Times New Roman"/>
          <w:kern w:val="0"/>
          <w:sz w:val="24"/>
          <w:szCs w:val="24"/>
          <w:lang w:eastAsia="en-AE"/>
          <w14:ligatures w14:val="none"/>
        </w:rPr>
        <w:t xml:space="preserve"> combining a mechanical flag with a digital electrical output for remote monitoring. Designed for installation on pig launchers, receivers and intermediate pipeline locations, the </w:t>
      </w:r>
      <w:proofErr w:type="spellStart"/>
      <w:r w:rsidRPr="00AD477A">
        <w:rPr>
          <w:rFonts w:ascii="Times New Roman" w:eastAsia="Times New Roman" w:hAnsi="Times New Roman" w:cs="Times New Roman"/>
          <w:kern w:val="0"/>
          <w:sz w:val="24"/>
          <w:szCs w:val="24"/>
          <w:lang w:eastAsia="en-AE"/>
          <w14:ligatures w14:val="none"/>
        </w:rPr>
        <w:t>signalers</w:t>
      </w:r>
      <w:proofErr w:type="spellEnd"/>
      <w:r w:rsidRPr="00AD477A">
        <w:rPr>
          <w:rFonts w:ascii="Times New Roman" w:eastAsia="Times New Roman" w:hAnsi="Times New Roman" w:cs="Times New Roman"/>
          <w:kern w:val="0"/>
          <w:sz w:val="24"/>
          <w:szCs w:val="24"/>
          <w:lang w:eastAsia="en-AE"/>
          <w14:ligatures w14:val="none"/>
        </w:rPr>
        <w:t xml:space="preserve"> support operator confirmation, PLC/SCADA event logging, sequence control and automated pigging functions while retaining a simple, robust field indication philosophy.</w:t>
      </w:r>
    </w:p>
    <w:p w14:paraId="49918DFD" w14:textId="7051EA67" w:rsidR="00073894" w:rsidRPr="00AD477A" w:rsidRDefault="00073894" w:rsidP="00AD477A">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Pr>
          <w:rFonts w:ascii="Times New Roman" w:eastAsia="Times New Roman" w:hAnsi="Times New Roman" w:cs="Times New Roman"/>
          <w:noProof/>
          <w:kern w:val="0"/>
          <w:sz w:val="24"/>
          <w:szCs w:val="24"/>
          <w:lang w:eastAsia="en-AE"/>
        </w:rPr>
        <w:drawing>
          <wp:inline distT="0" distB="0" distL="0" distR="0" wp14:anchorId="119A6988" wp14:editId="05E35A9D">
            <wp:extent cx="6120130" cy="3444240"/>
            <wp:effectExtent l="0" t="0" r="0" b="3810"/>
            <wp:docPr id="13307900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90088" name="Picture 13307900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130" cy="3444240"/>
                    </a:xfrm>
                    <a:prstGeom prst="rect">
                      <a:avLst/>
                    </a:prstGeom>
                  </pic:spPr>
                </pic:pic>
              </a:graphicData>
            </a:graphic>
          </wp:inline>
        </w:drawing>
      </w:r>
    </w:p>
    <w:p w14:paraId="1DD61F59" w14:textId="77777777" w:rsidR="00AD477A" w:rsidRPr="00AD477A" w:rsidRDefault="00AD477A" w:rsidP="00AD47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AD477A">
        <w:rPr>
          <w:rFonts w:ascii="Times New Roman" w:eastAsia="Times New Roman" w:hAnsi="Times New Roman" w:cs="Times New Roman"/>
          <w:b/>
          <w:bCs/>
          <w:kern w:val="0"/>
          <w:sz w:val="27"/>
          <w:szCs w:val="27"/>
          <w:lang w:eastAsia="en-AE"/>
          <w14:ligatures w14:val="none"/>
        </w:rPr>
        <w:t>Pigging Valves</w:t>
      </w:r>
    </w:p>
    <w:p w14:paraId="469DA9FC" w14:textId="596BF5E9" w:rsidR="00094CE5" w:rsidRDefault="00AD477A" w:rsidP="00AD477A">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AD477A">
        <w:rPr>
          <w:rFonts w:ascii="Times New Roman" w:eastAsia="Times New Roman" w:hAnsi="Times New Roman" w:cs="Times New Roman"/>
          <w:kern w:val="0"/>
          <w:sz w:val="24"/>
          <w:szCs w:val="24"/>
          <w:lang w:eastAsia="en-AE"/>
          <w14:ligatures w14:val="none"/>
        </w:rPr>
        <w:t xml:space="preserve">LINESIG Pigging Valves provide a compact multi-port solution for controlled routing of pipeline flow and pigs between selected pipeline branches, reducing the number of conventional valves, tees and manifold spools required in a traditional pigging station. Available in 2-way, 3-way and 4-way </w:t>
      </w:r>
      <w:r w:rsidRPr="00AD477A">
        <w:rPr>
          <w:rFonts w:ascii="Times New Roman" w:eastAsia="Times New Roman" w:hAnsi="Times New Roman" w:cs="Times New Roman"/>
          <w:kern w:val="0"/>
          <w:sz w:val="24"/>
          <w:szCs w:val="24"/>
          <w:lang w:eastAsia="en-AE"/>
          <w14:ligatures w14:val="none"/>
        </w:rPr>
        <w:lastRenderedPageBreak/>
        <w:t>configurations with manual, electric, pneumatic or hydraulic operation, the LNS-WPV family is suited to oil, gas, fuel-terminal and process-pipeline applications requiring full-bore pig passage, positive directional control, reduced station footprint and integration with remote operating or automation systems.</w:t>
      </w:r>
      <w:r w:rsidR="00094CE5">
        <w:rPr>
          <w:rFonts w:ascii="Times New Roman" w:eastAsia="Times New Roman" w:hAnsi="Times New Roman" w:cs="Times New Roman"/>
          <w:noProof/>
          <w:kern w:val="0"/>
          <w:sz w:val="24"/>
          <w:szCs w:val="24"/>
          <w:lang w:eastAsia="en-AE"/>
        </w:rPr>
        <w:drawing>
          <wp:inline distT="0" distB="0" distL="0" distR="0" wp14:anchorId="1DC5C2A4" wp14:editId="68EF8B7C">
            <wp:extent cx="6120130" cy="3444240"/>
            <wp:effectExtent l="0" t="0" r="0" b="3810"/>
            <wp:docPr id="19564674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67414" name="Picture 19564674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3444240"/>
                    </a:xfrm>
                    <a:prstGeom prst="rect">
                      <a:avLst/>
                    </a:prstGeom>
                  </pic:spPr>
                </pic:pic>
              </a:graphicData>
            </a:graphic>
          </wp:inline>
        </w:drawing>
      </w:r>
    </w:p>
    <w:p w14:paraId="3A7D4ED5" w14:textId="36C88B88" w:rsidR="00AD477A" w:rsidRDefault="00823A6E" w:rsidP="00AD477A">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Pr>
          <w:rFonts w:ascii="Times New Roman" w:eastAsia="Times New Roman" w:hAnsi="Times New Roman" w:cs="Times New Roman"/>
          <w:noProof/>
          <w:kern w:val="0"/>
          <w:sz w:val="24"/>
          <w:szCs w:val="24"/>
          <w:lang w:eastAsia="en-AE"/>
        </w:rPr>
        <w:drawing>
          <wp:inline distT="0" distB="0" distL="0" distR="0" wp14:anchorId="6EF57F1E" wp14:editId="03281D0B">
            <wp:extent cx="4811497" cy="5191760"/>
            <wp:effectExtent l="0" t="0" r="8255" b="8890"/>
            <wp:docPr id="20833528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52863" name="Picture 2083352863"/>
                    <pic:cNvPicPr/>
                  </pic:nvPicPr>
                  <pic:blipFill>
                    <a:blip r:embed="rId8">
                      <a:extLst>
                        <a:ext uri="{28A0092B-C50C-407E-A947-70E740481C1C}">
                          <a14:useLocalDpi xmlns:a14="http://schemas.microsoft.com/office/drawing/2010/main" val="0"/>
                        </a:ext>
                      </a:extLst>
                    </a:blip>
                    <a:stretch>
                      <a:fillRect/>
                    </a:stretch>
                  </pic:blipFill>
                  <pic:spPr>
                    <a:xfrm>
                      <a:off x="0" y="0"/>
                      <a:ext cx="4815350" cy="5195918"/>
                    </a:xfrm>
                    <a:prstGeom prst="rect">
                      <a:avLst/>
                    </a:prstGeom>
                  </pic:spPr>
                </pic:pic>
              </a:graphicData>
            </a:graphic>
          </wp:inline>
        </w:drawing>
      </w:r>
    </w:p>
    <w:p w14:paraId="60388435" w14:textId="77777777" w:rsidR="00CC57E2" w:rsidRDefault="00CC57E2" w:rsidP="00AD477A">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p>
    <w:p w14:paraId="4BAD5535" w14:textId="77777777" w:rsidR="00CC57E2" w:rsidRPr="00AD477A" w:rsidRDefault="00CC57E2" w:rsidP="00AD477A">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p>
    <w:p w14:paraId="74462661" w14:textId="77777777" w:rsidR="00AD477A" w:rsidRPr="00AD477A" w:rsidRDefault="00AD477A" w:rsidP="00AD47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AD477A">
        <w:rPr>
          <w:rFonts w:ascii="Times New Roman" w:eastAsia="Times New Roman" w:hAnsi="Times New Roman" w:cs="Times New Roman"/>
          <w:b/>
          <w:bCs/>
          <w:kern w:val="0"/>
          <w:sz w:val="27"/>
          <w:szCs w:val="27"/>
          <w:lang w:eastAsia="en-AE"/>
          <w14:ligatures w14:val="none"/>
        </w:rPr>
        <w:t>Metering Skids &amp; Loading Racks</w:t>
      </w:r>
    </w:p>
    <w:p w14:paraId="423B51BF" w14:textId="69888799" w:rsidR="00AD477A" w:rsidRDefault="00AD477A" w:rsidP="00AD477A">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AD477A">
        <w:rPr>
          <w:rFonts w:ascii="Times New Roman" w:eastAsia="Times New Roman" w:hAnsi="Times New Roman" w:cs="Times New Roman"/>
          <w:kern w:val="0"/>
          <w:sz w:val="24"/>
          <w:szCs w:val="24"/>
          <w:lang w:eastAsia="en-AE"/>
          <w14:ligatures w14:val="none"/>
        </w:rPr>
        <w:t xml:space="preserve">The LINESIG </w:t>
      </w:r>
      <w:r w:rsidRPr="00AD477A">
        <w:rPr>
          <w:rFonts w:ascii="Times New Roman" w:eastAsia="Times New Roman" w:hAnsi="Times New Roman" w:cs="Times New Roman"/>
          <w:b/>
          <w:bCs/>
          <w:kern w:val="0"/>
          <w:sz w:val="24"/>
          <w:szCs w:val="24"/>
          <w:lang w:eastAsia="en-AE"/>
          <w14:ligatures w14:val="none"/>
        </w:rPr>
        <w:t>LNS-MS Series</w:t>
      </w:r>
      <w:r w:rsidRPr="00AD477A">
        <w:rPr>
          <w:rFonts w:ascii="Times New Roman" w:eastAsia="Times New Roman" w:hAnsi="Times New Roman" w:cs="Times New Roman"/>
          <w:kern w:val="0"/>
          <w:sz w:val="24"/>
          <w:szCs w:val="24"/>
          <w:lang w:eastAsia="en-AE"/>
          <w14:ligatures w14:val="none"/>
        </w:rPr>
        <w:t xml:space="preserve"> combines skid-mounted metering, flow conditioning, batch control, safety interlocks and terminal automation for tanker loading of liquid hydrocarbons, fuel oils/base oils, LPG and LNG. Coriolis mass flow measurement is preferred where technically applicable, with product-specific filtration, pressure and temperature monitoring, FCV/batch control, explosion-proof batch controllers, static grounding, overfill protection, ESD interfaces and loading-arm or hose connections; integrated loading-rack solutions can support multiple tanker bays, transaction control, TAS/PLC/SCADA communication and coordinated terminal dispatch operations.</w:t>
      </w:r>
      <w:r w:rsidR="00947238">
        <w:rPr>
          <w:rFonts w:ascii="Times New Roman" w:eastAsia="Times New Roman" w:hAnsi="Times New Roman" w:cs="Times New Roman"/>
          <w:noProof/>
          <w:kern w:val="0"/>
          <w:sz w:val="24"/>
          <w:szCs w:val="24"/>
          <w:lang w:eastAsia="en-AE"/>
        </w:rPr>
        <w:drawing>
          <wp:inline distT="0" distB="0" distL="0" distR="0" wp14:anchorId="35C6E741" wp14:editId="5C796D73">
            <wp:extent cx="6120130" cy="4590415"/>
            <wp:effectExtent l="0" t="0" r="0" b="635"/>
            <wp:docPr id="10882264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26471" name="Picture 1088226471"/>
                    <pic:cNvPicPr/>
                  </pic:nvPicPr>
                  <pic:blipFill>
                    <a:blip r:embed="rId9">
                      <a:extLst>
                        <a:ext uri="{28A0092B-C50C-407E-A947-70E740481C1C}">
                          <a14:useLocalDpi xmlns:a14="http://schemas.microsoft.com/office/drawing/2010/main" val="0"/>
                        </a:ext>
                      </a:extLst>
                    </a:blip>
                    <a:stretch>
                      <a:fillRect/>
                    </a:stretch>
                  </pic:blipFill>
                  <pic:spPr>
                    <a:xfrm>
                      <a:off x="0" y="0"/>
                      <a:ext cx="6120130" cy="4590415"/>
                    </a:xfrm>
                    <a:prstGeom prst="rect">
                      <a:avLst/>
                    </a:prstGeom>
                  </pic:spPr>
                </pic:pic>
              </a:graphicData>
            </a:graphic>
          </wp:inline>
        </w:drawing>
      </w:r>
    </w:p>
    <w:p w14:paraId="6ADDCD70" w14:textId="55092CDB" w:rsidR="00AD477A" w:rsidRPr="00AD477A" w:rsidRDefault="00CC57E2" w:rsidP="00AD477A">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Pr>
          <w:rFonts w:ascii="Times New Roman" w:eastAsia="Times New Roman" w:hAnsi="Times New Roman" w:cs="Times New Roman"/>
          <w:noProof/>
          <w:kern w:val="0"/>
          <w:sz w:val="24"/>
          <w:szCs w:val="24"/>
          <w:lang w:eastAsia="en-AE"/>
        </w:rPr>
        <w:lastRenderedPageBreak/>
        <w:drawing>
          <wp:inline distT="0" distB="0" distL="0" distR="0" wp14:anchorId="5C0AB52F" wp14:editId="1CFBED39">
            <wp:extent cx="6120130" cy="3444240"/>
            <wp:effectExtent l="0" t="0" r="0" b="3810"/>
            <wp:docPr id="1464521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21101" name="Picture 14645211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3444240"/>
                    </a:xfrm>
                    <a:prstGeom prst="rect">
                      <a:avLst/>
                    </a:prstGeom>
                  </pic:spPr>
                </pic:pic>
              </a:graphicData>
            </a:graphic>
          </wp:inline>
        </w:drawing>
      </w:r>
    </w:p>
    <w:p w14:paraId="78BBE5A0" w14:textId="77777777" w:rsidR="00AD477A" w:rsidRPr="00AD477A" w:rsidRDefault="00AD477A" w:rsidP="00AD47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AD477A">
        <w:rPr>
          <w:rFonts w:ascii="Times New Roman" w:eastAsia="Times New Roman" w:hAnsi="Times New Roman" w:cs="Times New Roman"/>
          <w:b/>
          <w:bCs/>
          <w:kern w:val="0"/>
          <w:sz w:val="27"/>
          <w:szCs w:val="27"/>
          <w:lang w:eastAsia="en-AE"/>
          <w14:ligatures w14:val="none"/>
        </w:rPr>
        <w:t>Multi-Channel Dosing Skids</w:t>
      </w:r>
    </w:p>
    <w:p w14:paraId="5B6511C7" w14:textId="77777777" w:rsidR="00AD477A" w:rsidRDefault="00AD477A" w:rsidP="00AD477A">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AD477A">
        <w:rPr>
          <w:rFonts w:ascii="Times New Roman" w:eastAsia="Times New Roman" w:hAnsi="Times New Roman" w:cs="Times New Roman"/>
          <w:kern w:val="0"/>
          <w:sz w:val="24"/>
          <w:szCs w:val="24"/>
          <w:lang w:eastAsia="en-AE"/>
          <w14:ligatures w14:val="none"/>
        </w:rPr>
        <w:t>LINESIG Multi-Channel Dosing Skids are modular additive and chemical injection systems designed to meter and inject multiple components accurately into a common process or loading stream. Each channel can be configured with dedicated metering, control, isolation, calibration and injection hardware, allowing the package to support fuel additives, dyes, performance improvers, blending components and process chemicals with recipe-based control, ratio management, batch synchronization and PLC/TAS integration for repeatable, traceable and automated dosing across terminal and process applications.</w:t>
      </w:r>
    </w:p>
    <w:p w14:paraId="06258851" w14:textId="265FB87E" w:rsidR="00F14B37" w:rsidRDefault="00F14B37" w:rsidP="00AD477A">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Pr>
          <w:rFonts w:ascii="Times New Roman" w:eastAsia="Times New Roman" w:hAnsi="Times New Roman" w:cs="Times New Roman"/>
          <w:noProof/>
          <w:kern w:val="0"/>
          <w:sz w:val="24"/>
          <w:szCs w:val="24"/>
          <w:lang w:eastAsia="en-AE"/>
        </w:rPr>
        <w:drawing>
          <wp:inline distT="0" distB="0" distL="0" distR="0" wp14:anchorId="41358CA5" wp14:editId="1061CACD">
            <wp:extent cx="6120130" cy="3444240"/>
            <wp:effectExtent l="0" t="0" r="0" b="3810"/>
            <wp:docPr id="680416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16267" name="Picture 6804162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3444240"/>
                    </a:xfrm>
                    <a:prstGeom prst="rect">
                      <a:avLst/>
                    </a:prstGeom>
                  </pic:spPr>
                </pic:pic>
              </a:graphicData>
            </a:graphic>
          </wp:inline>
        </w:drawing>
      </w:r>
    </w:p>
    <w:p w14:paraId="485F7111" w14:textId="77777777" w:rsidR="00094CE5" w:rsidRDefault="00094CE5" w:rsidP="00AD477A">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p>
    <w:p w14:paraId="5145D0B4" w14:textId="6B230CE8" w:rsidR="00094CE5" w:rsidRPr="00AD477A" w:rsidRDefault="00094CE5" w:rsidP="00AD477A">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Pr>
          <w:rFonts w:ascii="Times New Roman" w:eastAsia="Times New Roman" w:hAnsi="Times New Roman" w:cs="Times New Roman"/>
          <w:noProof/>
          <w:kern w:val="0"/>
          <w:sz w:val="24"/>
          <w:szCs w:val="24"/>
          <w:lang w:eastAsia="en-AE"/>
        </w:rPr>
        <w:lastRenderedPageBreak/>
        <w:drawing>
          <wp:inline distT="0" distB="0" distL="0" distR="0" wp14:anchorId="3AB31219" wp14:editId="2194EA5C">
            <wp:extent cx="6120130" cy="3444240"/>
            <wp:effectExtent l="0" t="0" r="0" b="3810"/>
            <wp:docPr id="16812714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71474" name="Picture 16812714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444240"/>
                    </a:xfrm>
                    <a:prstGeom prst="rect">
                      <a:avLst/>
                    </a:prstGeom>
                  </pic:spPr>
                </pic:pic>
              </a:graphicData>
            </a:graphic>
          </wp:inline>
        </w:drawing>
      </w:r>
    </w:p>
    <w:p w14:paraId="4F67D370" w14:textId="77777777" w:rsidR="00AD477A" w:rsidRPr="00AD477A" w:rsidRDefault="00AD477A" w:rsidP="00AD47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AD477A">
        <w:rPr>
          <w:rFonts w:ascii="Times New Roman" w:eastAsia="Times New Roman" w:hAnsi="Times New Roman" w:cs="Times New Roman"/>
          <w:b/>
          <w:bCs/>
          <w:kern w:val="0"/>
          <w:sz w:val="27"/>
          <w:szCs w:val="27"/>
          <w:lang w:eastAsia="en-AE"/>
          <w14:ligatures w14:val="none"/>
        </w:rPr>
        <w:t>Scrubber Systems</w:t>
      </w:r>
    </w:p>
    <w:p w14:paraId="5D2748DA" w14:textId="77777777" w:rsidR="00AD477A" w:rsidRDefault="00AD477A" w:rsidP="00AD477A">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AD477A">
        <w:rPr>
          <w:rFonts w:ascii="Times New Roman" w:eastAsia="Times New Roman" w:hAnsi="Times New Roman" w:cs="Times New Roman"/>
          <w:kern w:val="0"/>
          <w:sz w:val="24"/>
          <w:szCs w:val="24"/>
          <w:lang w:eastAsia="en-AE"/>
          <w14:ligatures w14:val="none"/>
        </w:rPr>
        <w:t>LINESIG Scrubber Systems are engineered process packages for removal of liquid droplets, entrained contaminants, aerosols or undesirable components from gas and vapour streams before downstream treatment, compression, venting or recovery. Configurations may incorporate vertical or horizontal separation vessels, demisting elements, level control, drains, pressure instrumentation, pumps, control valves and package automation, with design tailored to the actual gas composition, flow range, pressure, temperature and required separation performance in refinery, terminal, petrochemical and hydrocarbon-handling services.</w:t>
      </w:r>
    </w:p>
    <w:p w14:paraId="2805344A" w14:textId="0E67E0BB" w:rsidR="00F14B37" w:rsidRPr="00AD477A" w:rsidRDefault="00F14B37" w:rsidP="00AD477A">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Pr>
          <w:rFonts w:ascii="Times New Roman" w:eastAsia="Times New Roman" w:hAnsi="Times New Roman" w:cs="Times New Roman"/>
          <w:noProof/>
          <w:kern w:val="0"/>
          <w:sz w:val="24"/>
          <w:szCs w:val="24"/>
          <w:lang w:eastAsia="en-AE"/>
        </w:rPr>
        <w:drawing>
          <wp:inline distT="0" distB="0" distL="0" distR="0" wp14:anchorId="42251237" wp14:editId="0006651D">
            <wp:extent cx="6120130" cy="3444240"/>
            <wp:effectExtent l="0" t="0" r="0" b="3810"/>
            <wp:docPr id="156722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2176" name="Picture 1567221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3444240"/>
                    </a:xfrm>
                    <a:prstGeom prst="rect">
                      <a:avLst/>
                    </a:prstGeom>
                  </pic:spPr>
                </pic:pic>
              </a:graphicData>
            </a:graphic>
          </wp:inline>
        </w:drawing>
      </w:r>
    </w:p>
    <w:p w14:paraId="4722B2E1" w14:textId="77777777" w:rsidR="00AD477A" w:rsidRPr="00AD477A" w:rsidRDefault="00AD477A" w:rsidP="00AD47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AD477A">
        <w:rPr>
          <w:rFonts w:ascii="Times New Roman" w:eastAsia="Times New Roman" w:hAnsi="Times New Roman" w:cs="Times New Roman"/>
          <w:b/>
          <w:bCs/>
          <w:kern w:val="0"/>
          <w:sz w:val="27"/>
          <w:szCs w:val="27"/>
          <w:lang w:eastAsia="en-AE"/>
          <w14:ligatures w14:val="none"/>
        </w:rPr>
        <w:t>Vapour Recovery Units – VRU</w:t>
      </w:r>
    </w:p>
    <w:p w14:paraId="193539DB" w14:textId="77777777" w:rsidR="00AD477A" w:rsidRDefault="00AD477A" w:rsidP="00AD477A">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AD477A">
        <w:rPr>
          <w:rFonts w:ascii="Times New Roman" w:eastAsia="Times New Roman" w:hAnsi="Times New Roman" w:cs="Times New Roman"/>
          <w:kern w:val="0"/>
          <w:sz w:val="24"/>
          <w:szCs w:val="24"/>
          <w:lang w:eastAsia="en-AE"/>
          <w14:ligatures w14:val="none"/>
        </w:rPr>
        <w:t xml:space="preserve">LINESIG Vapour Recovery Units are designed to collect and recover hydrocarbon vapours generated during tanker loading and terminal operations, reducing atmospheric emissions while </w:t>
      </w:r>
      <w:r w:rsidRPr="00AD477A">
        <w:rPr>
          <w:rFonts w:ascii="Times New Roman" w:eastAsia="Times New Roman" w:hAnsi="Times New Roman" w:cs="Times New Roman"/>
          <w:kern w:val="0"/>
          <w:sz w:val="24"/>
          <w:szCs w:val="24"/>
          <w:lang w:eastAsia="en-AE"/>
          <w14:ligatures w14:val="none"/>
        </w:rPr>
        <w:lastRenderedPageBreak/>
        <w:t>improving product recovery and loading safety. For multi-tanker gantry systems, vapour from individual loading bays is routed through a common vapour-return header to a centralized recovery package incorporating separation, vapour conditioning, recovery equipment, instrumentation and control, allowing the VRU to operate as an integrated part of the loading rack with batch, ESD and terminal automation interfaces for efficient, controlled and environmentally responsible terminal operation.</w:t>
      </w:r>
    </w:p>
    <w:p w14:paraId="7DDCC4AB" w14:textId="3E7B2ADE" w:rsidR="00F14B37" w:rsidRPr="00AD477A" w:rsidRDefault="00F14B37" w:rsidP="00AD477A">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Pr>
          <w:rFonts w:ascii="Times New Roman" w:eastAsia="Times New Roman" w:hAnsi="Times New Roman" w:cs="Times New Roman"/>
          <w:noProof/>
          <w:kern w:val="0"/>
          <w:sz w:val="24"/>
          <w:szCs w:val="24"/>
          <w:lang w:eastAsia="en-AE"/>
        </w:rPr>
        <w:drawing>
          <wp:inline distT="0" distB="0" distL="0" distR="0" wp14:anchorId="1628674F" wp14:editId="363DE852">
            <wp:extent cx="6120130" cy="3444240"/>
            <wp:effectExtent l="0" t="0" r="0" b="3810"/>
            <wp:docPr id="11156203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20332" name="Picture 11156203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3444240"/>
                    </a:xfrm>
                    <a:prstGeom prst="rect">
                      <a:avLst/>
                    </a:prstGeom>
                  </pic:spPr>
                </pic:pic>
              </a:graphicData>
            </a:graphic>
          </wp:inline>
        </w:drawing>
      </w:r>
    </w:p>
    <w:p w14:paraId="4BC75A29" w14:textId="217B5283" w:rsidR="00AD477A" w:rsidRDefault="00F14B37">
      <w:r>
        <w:rPr>
          <w:noProof/>
        </w:rPr>
        <w:drawing>
          <wp:inline distT="0" distB="0" distL="0" distR="0" wp14:anchorId="131922AA" wp14:editId="0028BF42">
            <wp:extent cx="6120130" cy="3444240"/>
            <wp:effectExtent l="0" t="0" r="0" b="3810"/>
            <wp:docPr id="19401436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43602" name="Picture 19401436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3444240"/>
                    </a:xfrm>
                    <a:prstGeom prst="rect">
                      <a:avLst/>
                    </a:prstGeom>
                  </pic:spPr>
                </pic:pic>
              </a:graphicData>
            </a:graphic>
          </wp:inline>
        </w:drawing>
      </w:r>
    </w:p>
    <w:sectPr w:rsidR="00AD477A" w:rsidSect="00322E84">
      <w:type w:val="continuous"/>
      <w:pgSz w:w="11906" w:h="16838" w:code="9"/>
      <w:pgMar w:top="851" w:right="1134" w:bottom="567" w:left="1134" w:header="284" w:footer="284"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77A"/>
    <w:rsid w:val="00035C53"/>
    <w:rsid w:val="00073894"/>
    <w:rsid w:val="00094CE5"/>
    <w:rsid w:val="0017230B"/>
    <w:rsid w:val="00322E84"/>
    <w:rsid w:val="00420F33"/>
    <w:rsid w:val="0058586F"/>
    <w:rsid w:val="00755B35"/>
    <w:rsid w:val="00823A6E"/>
    <w:rsid w:val="00947238"/>
    <w:rsid w:val="009A33C4"/>
    <w:rsid w:val="00A27325"/>
    <w:rsid w:val="00A41E63"/>
    <w:rsid w:val="00A85BB8"/>
    <w:rsid w:val="00AD477A"/>
    <w:rsid w:val="00AF2C5B"/>
    <w:rsid w:val="00C53954"/>
    <w:rsid w:val="00C65C4F"/>
    <w:rsid w:val="00CC57E2"/>
    <w:rsid w:val="00CF1B8E"/>
    <w:rsid w:val="00D11E73"/>
    <w:rsid w:val="00D31D0C"/>
    <w:rsid w:val="00D82105"/>
    <w:rsid w:val="00E41218"/>
    <w:rsid w:val="00F14B37"/>
    <w:rsid w:val="00F2391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49C88"/>
  <w15:chartTrackingRefBased/>
  <w15:docId w15:val="{6889680C-1FB3-43BF-AF8C-8C2DB0B2D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7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47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47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47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47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4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7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47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47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47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47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4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77A"/>
    <w:rPr>
      <w:rFonts w:eastAsiaTheme="majorEastAsia" w:cstheme="majorBidi"/>
      <w:color w:val="272727" w:themeColor="text1" w:themeTint="D8"/>
    </w:rPr>
  </w:style>
  <w:style w:type="paragraph" w:styleId="Title">
    <w:name w:val="Title"/>
    <w:basedOn w:val="Normal"/>
    <w:next w:val="Normal"/>
    <w:link w:val="TitleChar"/>
    <w:uiPriority w:val="10"/>
    <w:qFormat/>
    <w:rsid w:val="00AD4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77A"/>
    <w:pPr>
      <w:spacing w:before="160"/>
      <w:jc w:val="center"/>
    </w:pPr>
    <w:rPr>
      <w:i/>
      <w:iCs/>
      <w:color w:val="404040" w:themeColor="text1" w:themeTint="BF"/>
    </w:rPr>
  </w:style>
  <w:style w:type="character" w:customStyle="1" w:styleId="QuoteChar">
    <w:name w:val="Quote Char"/>
    <w:basedOn w:val="DefaultParagraphFont"/>
    <w:link w:val="Quote"/>
    <w:uiPriority w:val="29"/>
    <w:rsid w:val="00AD477A"/>
    <w:rPr>
      <w:i/>
      <w:iCs/>
      <w:color w:val="404040" w:themeColor="text1" w:themeTint="BF"/>
    </w:rPr>
  </w:style>
  <w:style w:type="paragraph" w:styleId="ListParagraph">
    <w:name w:val="List Paragraph"/>
    <w:basedOn w:val="Normal"/>
    <w:uiPriority w:val="34"/>
    <w:qFormat/>
    <w:rsid w:val="00AD477A"/>
    <w:pPr>
      <w:ind w:left="720"/>
      <w:contextualSpacing/>
    </w:pPr>
  </w:style>
  <w:style w:type="character" w:styleId="IntenseEmphasis">
    <w:name w:val="Intense Emphasis"/>
    <w:basedOn w:val="DefaultParagraphFont"/>
    <w:uiPriority w:val="21"/>
    <w:qFormat/>
    <w:rsid w:val="00AD477A"/>
    <w:rPr>
      <w:i/>
      <w:iCs/>
      <w:color w:val="2F5496" w:themeColor="accent1" w:themeShade="BF"/>
    </w:rPr>
  </w:style>
  <w:style w:type="paragraph" w:styleId="IntenseQuote">
    <w:name w:val="Intense Quote"/>
    <w:basedOn w:val="Normal"/>
    <w:next w:val="Normal"/>
    <w:link w:val="IntenseQuoteChar"/>
    <w:uiPriority w:val="30"/>
    <w:qFormat/>
    <w:rsid w:val="00AD4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477A"/>
    <w:rPr>
      <w:i/>
      <w:iCs/>
      <w:color w:val="2F5496" w:themeColor="accent1" w:themeShade="BF"/>
    </w:rPr>
  </w:style>
  <w:style w:type="character" w:styleId="IntenseReference">
    <w:name w:val="Intense Reference"/>
    <w:basedOn w:val="DefaultParagraphFont"/>
    <w:uiPriority w:val="32"/>
    <w:qFormat/>
    <w:rsid w:val="00AD47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AL KHALEEJ</dc:creator>
  <cp:keywords/>
  <dc:description/>
  <cp:lastModifiedBy>SAHIL AL KHALEEJ</cp:lastModifiedBy>
  <cp:revision>3</cp:revision>
  <dcterms:created xsi:type="dcterms:W3CDTF">2026-08-18T07:12:00Z</dcterms:created>
  <dcterms:modified xsi:type="dcterms:W3CDTF">2026-08-18T07:32:00Z</dcterms:modified>
</cp:coreProperties>
</file>