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4A0E16"/>
          <w:sz w:val="40"/>
          <w:szCs w:val="40"/>
        </w:rPr>
        <w:t xml:space="preserve">Business-Insight Report: Customer Churn Prediction and Retention</w:t>
      </w:r>
    </w:p>
    <w:p>
      <w:pPr>
        <w:spacing w:after="40"/>
      </w:pPr>
      <w:r>
        <w:rPr>
          <w:rFonts w:ascii="Calibri" w:cs="Calibri" w:eastAsia="Calibri" w:hAnsi="Calibri"/>
          <w:b/>
          <w:bCs/>
          <w:sz w:val="22"/>
          <w:szCs w:val="22"/>
        </w:rPr>
        <w:t xml:space="preserve">Student: </w:t>
      </w:r>
      <w:r>
        <w:rPr>
          <w:rFonts w:ascii="Calibri" w:cs="Calibri" w:eastAsia="Calibri" w:hAnsi="Calibri"/>
          <w:sz w:val="22"/>
          <w:szCs w:val="22"/>
        </w:rPr>
        <w:t xml:space="preserve">Zaid Ali    </w:t>
      </w:r>
      <w:r>
        <w:rPr>
          <w:rFonts w:ascii="Calibri" w:cs="Calibri" w:eastAsia="Calibri" w:hAnsi="Calibri"/>
          <w:b/>
          <w:bCs/>
          <w:sz w:val="22"/>
          <w:szCs w:val="22"/>
        </w:rPr>
        <w:t xml:space="preserve">Course: </w:t>
      </w:r>
      <w:r>
        <w:rPr>
          <w:rFonts w:ascii="Calibri" w:cs="Calibri" w:eastAsia="Calibri" w:hAnsi="Calibri"/>
          <w:sz w:val="22"/>
          <w:szCs w:val="22"/>
        </w:rPr>
        <w:t xml:space="preserve">Data Science and Machine Learning</w:t>
      </w:r>
    </w:p>
    <w:p>
      <w:pPr>
        <w:spacing w:after="40"/>
      </w:pPr>
      <w:r>
        <w:rPr>
          <w:rFonts w:ascii="Calibri" w:cs="Calibri" w:eastAsia="Calibri" w:hAnsi="Calibri"/>
          <w:b/>
          <w:bCs/>
          <w:sz w:val="22"/>
          <w:szCs w:val="22"/>
        </w:rPr>
        <w:t xml:space="preserve">Dataset: </w:t>
      </w:r>
      <w:r>
        <w:rPr>
          <w:rFonts w:ascii="Calibri" w:cs="Calibri" w:eastAsia="Calibri" w:hAnsi="Calibri"/>
          <w:sz w:val="22"/>
          <w:szCs w:val="22"/>
        </w:rPr>
        <w:t xml:space="preserve">IBM Telco Customer Churn (7,043 customers, 21 columns)</w:t>
      </w:r>
    </w:p>
    <w:p>
      <w:pPr>
        <w:spacing w:after="40"/>
      </w:pPr>
      <w:r>
        <w:rPr>
          <w:rFonts w:ascii="Calibri" w:cs="Calibri" w:eastAsia="Calibri" w:hAnsi="Calibri"/>
          <w:b/>
          <w:bCs/>
          <w:sz w:val="22"/>
          <w:szCs w:val="22"/>
        </w:rPr>
        <w:t xml:space="preserve">Live app: </w:t>
      </w:r>
      <w:r>
        <w:rPr>
          <w:rFonts w:ascii="Calibri" w:cs="Calibri" w:eastAsia="Calibri" w:hAnsi="Calibri"/>
          <w:sz w:val="22"/>
          <w:szCs w:val="22"/>
        </w:rPr>
        <w:t xml:space="preserve">https://fp-churn-tsqxrn6e86avqpcszde6rc.streamlit.app</w:t>
      </w:r>
    </w:p>
    <w:p>
      <w:pPr>
        <w:spacing w:after="160"/>
      </w:pPr>
      <w:r>
        <w:rPr>
          <w:rFonts w:ascii="Calibri" w:cs="Calibri" w:eastAsia="Calibri" w:hAnsi="Calibri"/>
          <w:b/>
          <w:bCs/>
          <w:sz w:val="22"/>
          <w:szCs w:val="22"/>
        </w:rPr>
        <w:t xml:space="preserve">GitHub: </w:t>
      </w:r>
      <w:r>
        <w:rPr>
          <w:rFonts w:ascii="Calibri" w:cs="Calibri" w:eastAsia="Calibri" w:hAnsi="Calibri"/>
          <w:sz w:val="22"/>
          <w:szCs w:val="22"/>
        </w:rPr>
        <w:t xml:space="preserve">https://github.com/zaidali21082007-spec/fp-churn</w:t>
      </w:r>
    </w:p>
    <w:p>
      <w:pPr>
        <w:pStyle w:val="Heading1"/>
        <w:spacing w:after="120" w:before="280"/>
      </w:pPr>
      <w:r>
        <w:rPr>
          <w:rFonts w:ascii="Calibri" w:cs="Calibri" w:eastAsia="Calibri" w:hAnsi="Calibri"/>
          <w:b/>
          <w:bCs/>
          <w:color w:val="4A0E16"/>
          <w:sz w:val="30"/>
          <w:szCs w:val="30"/>
        </w:rPr>
        <w:t xml:space="preserve">1. Summary</w:t>
      </w:r>
    </w:p>
    <w:p>
      <w:pPr>
        <w:spacing w:after="120" w:line="264"/>
      </w:pPr>
      <w:r>
        <w:rPr>
          <w:rFonts w:ascii="Calibri" w:cs="Calibri" w:eastAsia="Calibri" w:hAnsi="Calibri"/>
          <w:sz w:val="22"/>
          <w:szCs w:val="22"/>
        </w:rPr>
        <w:t xml:space="preserve">About 26.54% of customers (1,869 of 7,043) churned, representing $139,130.85 of monthly revenue. Churn is concentrated in month-to-month contracts and among customers who pay manually rather than by automatic payment. A Random Forest model reaches a ROC-AUC of 0.844 on the held-out test set. On that 1,409-customer test set it flags 296 High or Critical risk customers carrying about $15,030 of expected monthly revenue at risk. The Retention Dashboard scores all 7,043 customers, including the training data, and flags 1,477 High or Critical customers with $76,429.55 of expected monthly revenue at risk; those larger figures are in-sample. The recommendations below target the segments where churn is concentrated and where the data supports action.</w:t>
      </w:r>
    </w:p>
    <w:p>
      <w:pPr>
        <w:pStyle w:val="Heading1"/>
        <w:spacing w:after="120" w:before="280"/>
      </w:pPr>
      <w:r>
        <w:rPr>
          <w:rFonts w:ascii="Calibri" w:cs="Calibri" w:eastAsia="Calibri" w:hAnsi="Calibri"/>
          <w:b/>
          <w:bCs/>
          <w:color w:val="4A0E16"/>
          <w:sz w:val="30"/>
          <w:szCs w:val="30"/>
        </w:rPr>
        <w:t xml:space="preserve">2.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BBBBB" w:sz="4"/>
              <w:left w:val="single" w:color="BBBBBB" w:sz="4"/>
              <w:bottom w:val="single" w:color="BBBBBB" w:sz="4"/>
              <w:right w:val="single" w:color="BBBBBB" w:sz="4"/>
            </w:tcBorders>
            <w:shd w:fill="4A0E16"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Measure</w:t>
            </w:r>
          </w:p>
        </w:tc>
        <w:tc>
          <w:tcPr>
            <w:tcW w:type="dxa" w:w="5360"/>
            <w:tcBorders>
              <w:top w:val="single" w:color="BBBBBB" w:sz="4"/>
              <w:left w:val="single" w:color="BBBBBB" w:sz="4"/>
              <w:bottom w:val="single" w:color="BBBBBB" w:sz="4"/>
              <w:right w:val="single" w:color="BBBBBB" w:sz="4"/>
            </w:tcBorders>
            <w:shd w:fill="4A0E16"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Result</w:t>
            </w:r>
          </w:p>
        </w:tc>
      </w:tr>
      <w:tr>
        <w:trPr>
          <w:cantSplit/>
        </w:trPr>
        <w:tc>
          <w:tcPr>
            <w:tcW w:type="dxa" w:w="4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Overall churn rate</w:t>
            </w:r>
          </w:p>
        </w:tc>
        <w:tc>
          <w:tcPr>
            <w:tcW w:type="dxa" w:w="5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26.54% (1,869 of 7,043 customers)</w:t>
            </w:r>
          </w:p>
        </w:tc>
      </w:tr>
      <w:tr>
        <w:trPr>
          <w:cantSplit/>
        </w:trPr>
        <w:tc>
          <w:tcPr>
            <w:tcW w:type="dxa" w:w="4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Churned monthly revenue</w:t>
            </w:r>
          </w:p>
        </w:tc>
        <w:tc>
          <w:tcPr>
            <w:tcW w:type="dxa" w:w="5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$139,130.85 (of $456,116.60 total monthly revenue)</w:t>
            </w:r>
          </w:p>
        </w:tc>
      </w:tr>
      <w:tr>
        <w:trPr>
          <w:cantSplit/>
        </w:trPr>
        <w:tc>
          <w:tcPr>
            <w:tcW w:type="dxa" w:w="4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Churn rate: month-to-month / one-year / two-year</w:t>
            </w:r>
          </w:p>
        </w:tc>
        <w:tc>
          <w:tcPr>
            <w:tcW w:type="dxa" w:w="5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42.71% / 11.27% / 2.83%</w:t>
            </w:r>
          </w:p>
        </w:tc>
      </w:tr>
      <w:tr>
        <w:trPr>
          <w:cantSplit/>
        </w:trPr>
        <w:tc>
          <w:tcPr>
            <w:tcW w:type="dxa" w:w="4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Month-to-month share of churned monthly revenue</w:t>
            </w:r>
          </w:p>
        </w:tc>
        <w:tc>
          <w:tcPr>
            <w:tcW w:type="dxa" w:w="5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$120,847 of $139,131 (86.9%)</w:t>
            </w:r>
          </w:p>
        </w:tc>
      </w:tr>
      <w:tr>
        <w:trPr>
          <w:cantSplit/>
        </w:trPr>
        <w:tc>
          <w:tcPr>
            <w:tcW w:type="dxa" w:w="4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Churn rate: automatic payment vs manual payment</w:t>
            </w:r>
          </w:p>
        </w:tc>
        <w:tc>
          <w:tcPr>
            <w:tcW w:type="dxa" w:w="5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16.0% vs 34.7%</w:t>
            </w:r>
          </w:p>
        </w:tc>
      </w:tr>
      <w:tr>
        <w:trPr>
          <w:cantSplit/>
        </w:trPr>
        <w:tc>
          <w:tcPr>
            <w:tcW w:type="dxa" w:w="4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Auto-pay gap: month-to-month / one-year / two-year</w:t>
            </w:r>
          </w:p>
        </w:tc>
        <w:tc>
          <w:tcPr>
            <w:tcW w:type="dxa" w:w="5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13.0 / 2.7 / 0.1 percentage points</w:t>
            </w:r>
          </w:p>
        </w:tc>
      </w:tr>
      <w:tr>
        <w:trPr>
          <w:cantSplit/>
        </w:trPr>
        <w:tc>
          <w:tcPr>
            <w:tcW w:type="dxa" w:w="4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Churn rate by tenure group: New / Developing / Established / Loyal</w:t>
            </w:r>
          </w:p>
        </w:tc>
        <w:tc>
          <w:tcPr>
            <w:tcW w:type="dxa" w:w="5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47.44% / 28.71% / 20.39% / 9.51%</w:t>
            </w:r>
          </w:p>
        </w:tc>
      </w:tr>
      <w:tr>
        <w:trPr>
          <w:cantSplit/>
        </w:trPr>
        <w:tc>
          <w:tcPr>
            <w:tcW w:type="dxa" w:w="4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Churn rate by segment: Senior Solo / Senior Family / Solo / Family</w:t>
            </w:r>
          </w:p>
        </w:tc>
        <w:tc>
          <w:tcPr>
            <w:tcW w:type="dxa" w:w="5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49.2% / 34.42% / 31.15% / 17.16%</w:t>
            </w:r>
          </w:p>
        </w:tc>
      </w:tr>
      <w:tr>
        <w:trPr>
          <w:cantSplit/>
        </w:trPr>
        <w:tc>
          <w:tcPr>
            <w:tcW w:type="dxa" w:w="4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Internet customers without vs with Tech Support</w:t>
            </w:r>
          </w:p>
        </w:tc>
        <w:tc>
          <w:tcPr>
            <w:tcW w:type="dxa" w:w="5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41.6% vs 15.2%</w:t>
            </w:r>
          </w:p>
        </w:tc>
      </w:tr>
    </w:tbl>
    <w:p>
      <w:pPr>
        <w:pStyle w:val="Heading1"/>
        <w:spacing w:after="120" w:before="280"/>
      </w:pPr>
      <w:r>
        <w:rPr>
          <w:rFonts w:ascii="Calibri" w:cs="Calibri" w:eastAsia="Calibri" w:hAnsi="Calibri"/>
          <w:b/>
          <w:bCs/>
          <w:color w:val="4A0E16"/>
          <w:sz w:val="30"/>
          <w:szCs w:val="30"/>
        </w:rPr>
        <w:t xml:space="preserve">3. Model Performance</w:t>
      </w:r>
    </w:p>
    <w:p>
      <w:pPr>
        <w:spacing w:after="120" w:line="264"/>
      </w:pPr>
      <w:r>
        <w:rPr>
          <w:rFonts w:ascii="Calibri" w:cs="Calibri" w:eastAsia="Calibri" w:hAnsi="Calibri"/>
          <w:sz w:val="22"/>
          <w:szCs w:val="22"/>
        </w:rPr>
        <w:t xml:space="preserve">Four classifiers were trained on the same 80/20 stratified split (test set: 1,409 customers, 374 churned and 1,035 retained). Random Forest was selected by ROC-AUC, with recall as the tie-breaker. The four models are close on ROC-AUC, so the choice is a narrow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BBBBBB" w:sz="4"/>
              <w:left w:val="single" w:color="BBBBBB" w:sz="4"/>
              <w:bottom w:val="single" w:color="BBBBBB" w:sz="4"/>
              <w:right w:val="single" w:color="BBBBBB" w:sz="4"/>
            </w:tcBorders>
            <w:shd w:fill="4A0E16"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Model</w:t>
            </w:r>
          </w:p>
        </w:tc>
        <w:tc>
          <w:tcPr>
            <w:tcW w:type="dxa" w:w="1320"/>
            <w:tcBorders>
              <w:top w:val="single" w:color="BBBBBB" w:sz="4"/>
              <w:left w:val="single" w:color="BBBBBB" w:sz="4"/>
              <w:bottom w:val="single" w:color="BBBBBB" w:sz="4"/>
              <w:right w:val="single" w:color="BBBBBB" w:sz="4"/>
            </w:tcBorders>
            <w:shd w:fill="4A0E16"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Accuracy</w:t>
            </w:r>
          </w:p>
        </w:tc>
        <w:tc>
          <w:tcPr>
            <w:tcW w:type="dxa" w:w="1320"/>
            <w:tcBorders>
              <w:top w:val="single" w:color="BBBBBB" w:sz="4"/>
              <w:left w:val="single" w:color="BBBBBB" w:sz="4"/>
              <w:bottom w:val="single" w:color="BBBBBB" w:sz="4"/>
              <w:right w:val="single" w:color="BBBBBB" w:sz="4"/>
            </w:tcBorders>
            <w:shd w:fill="4A0E16"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Precision</w:t>
            </w:r>
          </w:p>
        </w:tc>
        <w:tc>
          <w:tcPr>
            <w:tcW w:type="dxa" w:w="1320"/>
            <w:tcBorders>
              <w:top w:val="single" w:color="BBBBBB" w:sz="4"/>
              <w:left w:val="single" w:color="BBBBBB" w:sz="4"/>
              <w:bottom w:val="single" w:color="BBBBBB" w:sz="4"/>
              <w:right w:val="single" w:color="BBBBBB" w:sz="4"/>
            </w:tcBorders>
            <w:shd w:fill="4A0E16"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Recall</w:t>
            </w:r>
          </w:p>
        </w:tc>
        <w:tc>
          <w:tcPr>
            <w:tcW w:type="dxa" w:w="1320"/>
            <w:tcBorders>
              <w:top w:val="single" w:color="BBBBBB" w:sz="4"/>
              <w:left w:val="single" w:color="BBBBBB" w:sz="4"/>
              <w:bottom w:val="single" w:color="BBBBBB" w:sz="4"/>
              <w:right w:val="single" w:color="BBBBBB" w:sz="4"/>
            </w:tcBorders>
            <w:shd w:fill="4A0E16"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F1</w:t>
            </w:r>
          </w:p>
        </w:tc>
        <w:tc>
          <w:tcPr>
            <w:tcW w:type="dxa" w:w="1320"/>
            <w:tcBorders>
              <w:top w:val="single" w:color="BBBBBB" w:sz="4"/>
              <w:left w:val="single" w:color="BBBBBB" w:sz="4"/>
              <w:bottom w:val="single" w:color="BBBBBB" w:sz="4"/>
              <w:right w:val="single" w:color="BBBBBB" w:sz="4"/>
            </w:tcBorders>
            <w:shd w:fill="4A0E16"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ROC-AUC</w:t>
            </w:r>
          </w:p>
        </w:tc>
      </w:tr>
      <w:tr>
        <w:trPr>
          <w:cantSplit/>
        </w:trPr>
        <w:tc>
          <w:tcPr>
            <w:tcW w:type="dxa" w:w="2760"/>
            <w:tcBorders>
              <w:top w:val="single" w:color="BBBBBB" w:sz="4"/>
              <w:left w:val="single" w:color="BBBBBB" w:sz="4"/>
              <w:bottom w:val="single" w:color="BBBBBB" w:sz="4"/>
              <w:right w:val="single" w:color="BBBBBB" w:sz="4"/>
            </w:tcBorders>
            <w:shd w:fill="F3EBD0" w:color="auto" w:val="clear"/>
            <w:tcMar>
              <w:top w:type="dxa" w:w="70"/>
              <w:left w:type="dxa" w:w="110"/>
              <w:bottom w:type="dxa" w:w="70"/>
              <w:right w:type="dxa" w:w="110"/>
            </w:tcMar>
          </w:tcPr>
          <w:p>
            <w:pPr>
              <w:jc w:val="left"/>
            </w:pPr>
            <w:r>
              <w:rPr>
                <w:rFonts w:ascii="Calibri" w:cs="Calibri" w:eastAsia="Calibri" w:hAnsi="Calibri"/>
                <w:b/>
                <w:bCs/>
                <w:color w:val="000000"/>
                <w:sz w:val="20"/>
                <w:szCs w:val="20"/>
              </w:rPr>
              <w:t xml:space="preserve">Random Forest (selected)</w:t>
            </w:r>
          </w:p>
        </w:tc>
        <w:tc>
          <w:tcPr>
            <w:tcW w:type="dxa" w:w="1320"/>
            <w:tcBorders>
              <w:top w:val="single" w:color="BBBBBB" w:sz="4"/>
              <w:left w:val="single" w:color="BBBBBB" w:sz="4"/>
              <w:bottom w:val="single" w:color="BBBBBB" w:sz="4"/>
              <w:right w:val="single" w:color="BBBBBB" w:sz="4"/>
            </w:tcBorders>
            <w:shd w:fill="F3EBD0" w:color="auto" w:val="clear"/>
            <w:tcMar>
              <w:top w:type="dxa" w:w="70"/>
              <w:left w:type="dxa" w:w="110"/>
              <w:bottom w:type="dxa" w:w="70"/>
              <w:right w:type="dxa" w:w="110"/>
            </w:tcMar>
          </w:tcPr>
          <w:p>
            <w:pPr>
              <w:jc w:val="center"/>
            </w:pPr>
            <w:r>
              <w:rPr>
                <w:rFonts w:ascii="Calibri" w:cs="Calibri" w:eastAsia="Calibri" w:hAnsi="Calibri"/>
                <w:b/>
                <w:bCs/>
                <w:color w:val="000000"/>
                <w:sz w:val="20"/>
                <w:szCs w:val="20"/>
              </w:rPr>
              <w:t xml:space="preserve">0.804</w:t>
            </w:r>
          </w:p>
        </w:tc>
        <w:tc>
          <w:tcPr>
            <w:tcW w:type="dxa" w:w="1320"/>
            <w:tcBorders>
              <w:top w:val="single" w:color="BBBBBB" w:sz="4"/>
              <w:left w:val="single" w:color="BBBBBB" w:sz="4"/>
              <w:bottom w:val="single" w:color="BBBBBB" w:sz="4"/>
              <w:right w:val="single" w:color="BBBBBB" w:sz="4"/>
            </w:tcBorders>
            <w:shd w:fill="F3EBD0" w:color="auto" w:val="clear"/>
            <w:tcMar>
              <w:top w:type="dxa" w:w="70"/>
              <w:left w:type="dxa" w:w="110"/>
              <w:bottom w:type="dxa" w:w="70"/>
              <w:right w:type="dxa" w:w="110"/>
            </w:tcMar>
          </w:tcPr>
          <w:p>
            <w:pPr>
              <w:jc w:val="center"/>
            </w:pPr>
            <w:r>
              <w:rPr>
                <w:rFonts w:ascii="Calibri" w:cs="Calibri" w:eastAsia="Calibri" w:hAnsi="Calibri"/>
                <w:b/>
                <w:bCs/>
                <w:color w:val="000000"/>
                <w:sz w:val="20"/>
                <w:szCs w:val="20"/>
              </w:rPr>
              <w:t xml:space="preserve">0.665</w:t>
            </w:r>
          </w:p>
        </w:tc>
        <w:tc>
          <w:tcPr>
            <w:tcW w:type="dxa" w:w="1320"/>
            <w:tcBorders>
              <w:top w:val="single" w:color="BBBBBB" w:sz="4"/>
              <w:left w:val="single" w:color="BBBBBB" w:sz="4"/>
              <w:bottom w:val="single" w:color="BBBBBB" w:sz="4"/>
              <w:right w:val="single" w:color="BBBBBB" w:sz="4"/>
            </w:tcBorders>
            <w:shd w:fill="F3EBD0" w:color="auto" w:val="clear"/>
            <w:tcMar>
              <w:top w:type="dxa" w:w="70"/>
              <w:left w:type="dxa" w:w="110"/>
              <w:bottom w:type="dxa" w:w="70"/>
              <w:right w:type="dxa" w:w="110"/>
            </w:tcMar>
          </w:tcPr>
          <w:p>
            <w:pPr>
              <w:jc w:val="center"/>
            </w:pPr>
            <w:r>
              <w:rPr>
                <w:rFonts w:ascii="Calibri" w:cs="Calibri" w:eastAsia="Calibri" w:hAnsi="Calibri"/>
                <w:b/>
                <w:bCs/>
                <w:color w:val="000000"/>
                <w:sz w:val="20"/>
                <w:szCs w:val="20"/>
              </w:rPr>
              <w:t xml:space="preserve">0.527</w:t>
            </w:r>
          </w:p>
        </w:tc>
        <w:tc>
          <w:tcPr>
            <w:tcW w:type="dxa" w:w="1320"/>
            <w:tcBorders>
              <w:top w:val="single" w:color="BBBBBB" w:sz="4"/>
              <w:left w:val="single" w:color="BBBBBB" w:sz="4"/>
              <w:bottom w:val="single" w:color="BBBBBB" w:sz="4"/>
              <w:right w:val="single" w:color="BBBBBB" w:sz="4"/>
            </w:tcBorders>
            <w:shd w:fill="F3EBD0" w:color="auto" w:val="clear"/>
            <w:tcMar>
              <w:top w:type="dxa" w:w="70"/>
              <w:left w:type="dxa" w:w="110"/>
              <w:bottom w:type="dxa" w:w="70"/>
              <w:right w:type="dxa" w:w="110"/>
            </w:tcMar>
          </w:tcPr>
          <w:p>
            <w:pPr>
              <w:jc w:val="center"/>
            </w:pPr>
            <w:r>
              <w:rPr>
                <w:rFonts w:ascii="Calibri" w:cs="Calibri" w:eastAsia="Calibri" w:hAnsi="Calibri"/>
                <w:b/>
                <w:bCs/>
                <w:color w:val="000000"/>
                <w:sz w:val="20"/>
                <w:szCs w:val="20"/>
              </w:rPr>
              <w:t xml:space="preserve">0.588</w:t>
            </w:r>
          </w:p>
        </w:tc>
        <w:tc>
          <w:tcPr>
            <w:tcW w:type="dxa" w:w="1320"/>
            <w:tcBorders>
              <w:top w:val="single" w:color="BBBBBB" w:sz="4"/>
              <w:left w:val="single" w:color="BBBBBB" w:sz="4"/>
              <w:bottom w:val="single" w:color="BBBBBB" w:sz="4"/>
              <w:right w:val="single" w:color="BBBBBB" w:sz="4"/>
            </w:tcBorders>
            <w:shd w:fill="F3EBD0" w:color="auto" w:val="clear"/>
            <w:tcMar>
              <w:top w:type="dxa" w:w="70"/>
              <w:left w:type="dxa" w:w="110"/>
              <w:bottom w:type="dxa" w:w="70"/>
              <w:right w:type="dxa" w:w="110"/>
            </w:tcMar>
          </w:tcPr>
          <w:p>
            <w:pPr>
              <w:jc w:val="center"/>
            </w:pPr>
            <w:r>
              <w:rPr>
                <w:rFonts w:ascii="Calibri" w:cs="Calibri" w:eastAsia="Calibri" w:hAnsi="Calibri"/>
                <w:b/>
                <w:bCs/>
                <w:color w:val="000000"/>
                <w:sz w:val="20"/>
                <w:szCs w:val="20"/>
              </w:rPr>
              <w:t xml:space="preserve">0.844</w:t>
            </w:r>
          </w:p>
        </w:tc>
      </w:tr>
      <w:tr>
        <w:trPr>
          <w:cantSplit/>
        </w:trPr>
        <w:tc>
          <w:tcPr>
            <w:tcW w:type="dxa" w:w="2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Logistic Regression</w:t>
            </w:r>
          </w:p>
        </w:tc>
        <w:tc>
          <w:tcPr>
            <w:tcW w:type="dxa" w:w="132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0.797</w:t>
            </w:r>
          </w:p>
        </w:tc>
        <w:tc>
          <w:tcPr>
            <w:tcW w:type="dxa" w:w="132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0.646</w:t>
            </w:r>
          </w:p>
        </w:tc>
        <w:tc>
          <w:tcPr>
            <w:tcW w:type="dxa" w:w="132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0.521</w:t>
            </w:r>
          </w:p>
        </w:tc>
        <w:tc>
          <w:tcPr>
            <w:tcW w:type="dxa" w:w="132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0.577</w:t>
            </w:r>
          </w:p>
        </w:tc>
        <w:tc>
          <w:tcPr>
            <w:tcW w:type="dxa" w:w="132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0.843</w:t>
            </w:r>
          </w:p>
        </w:tc>
      </w:tr>
      <w:tr>
        <w:trPr>
          <w:cantSplit/>
        </w:trPr>
        <w:tc>
          <w:tcPr>
            <w:tcW w:type="dxa" w:w="2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Decision Tree</w:t>
            </w:r>
          </w:p>
        </w:tc>
        <w:tc>
          <w:tcPr>
            <w:tcW w:type="dxa" w:w="132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0.797</w:t>
            </w:r>
          </w:p>
        </w:tc>
        <w:tc>
          <w:tcPr>
            <w:tcW w:type="dxa" w:w="132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0.668</w:t>
            </w:r>
          </w:p>
        </w:tc>
        <w:tc>
          <w:tcPr>
            <w:tcW w:type="dxa" w:w="132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0.468</w:t>
            </w:r>
          </w:p>
        </w:tc>
        <w:tc>
          <w:tcPr>
            <w:tcW w:type="dxa" w:w="132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0.550</w:t>
            </w:r>
          </w:p>
        </w:tc>
        <w:tc>
          <w:tcPr>
            <w:tcW w:type="dxa" w:w="132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0.838</w:t>
            </w:r>
          </w:p>
        </w:tc>
      </w:tr>
      <w:tr>
        <w:trPr>
          <w:cantSplit/>
        </w:trPr>
        <w:tc>
          <w:tcPr>
            <w:tcW w:type="dxa" w:w="2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K-Nearest Neighbors</w:t>
            </w:r>
          </w:p>
        </w:tc>
        <w:tc>
          <w:tcPr>
            <w:tcW w:type="dxa" w:w="132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0.777</w:t>
            </w:r>
          </w:p>
        </w:tc>
        <w:tc>
          <w:tcPr>
            <w:tcW w:type="dxa" w:w="132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0.582</w:t>
            </w:r>
          </w:p>
        </w:tc>
        <w:tc>
          <w:tcPr>
            <w:tcW w:type="dxa" w:w="132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0.570</w:t>
            </w:r>
          </w:p>
        </w:tc>
        <w:tc>
          <w:tcPr>
            <w:tcW w:type="dxa" w:w="132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0.576</w:t>
            </w:r>
          </w:p>
        </w:tc>
        <w:tc>
          <w:tcPr>
            <w:tcW w:type="dxa" w:w="132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0.821</w:t>
            </w:r>
          </w:p>
        </w:tc>
      </w:tr>
    </w:tbl>
    <w:p>
      <w:pPr>
        <w:spacing w:after="60"/>
      </w:pPr>
      <w:r>
        <w:rPr>
          <w:rFonts w:ascii="Calibri" w:cs="Calibri" w:eastAsia="Calibri" w:hAnsi="Calibri"/>
          <w:sz w:val="22"/>
          <w:szCs w:val="22"/>
        </w:rPr>
        <w:t xml:space="preserve"/>
      </w:r>
    </w:p>
    <w:p>
      <w:pPr>
        <w:spacing w:after="120" w:line="264"/>
      </w:pPr>
      <w:r>
        <w:rPr>
          <w:rFonts w:ascii="Calibri" w:cs="Calibri" w:eastAsia="Calibri" w:hAnsi="Calibri"/>
          <w:sz w:val="22"/>
          <w:szCs w:val="22"/>
        </w:rPr>
        <w:t xml:space="preserve">Accuracy is not the basis for selection, because only 26.54% of customers churn. At the default 0.50 threshold, the Random Forest catches 197 of 374 churners (recall 52.67%), and 66.55% of the customers it flags do churn (precision). Recall matters most here: a missed churner is a lost customer, while a false alarm only costs one retention contact. Lowering the threshold to 0.30 raises recall to 77.81% (291 of 374 churners) while flagging 543 customers at 53.59% precision. The Threshold Analysis page lets the team choose the cutoff that fits its outreach capacity.</w:t>
      </w:r>
    </w:p>
    <w:p>
      <w:pPr>
        <w:keepNext/>
        <w:spacing w:after="120" w:line="264"/>
      </w:pPr>
      <w:r>
        <w:rPr>
          <w:rFonts w:ascii="Calibri" w:cs="Calibri" w:eastAsia="Calibri" w:hAnsi="Calibri"/>
          <w:sz w:val="22"/>
          <w:szCs w:val="22"/>
        </w:rPr>
        <w:t xml:space="preserve">On the held-out test set, actual churn rises steadily across the risk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4A0E16"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Risk tier</w:t>
            </w:r>
          </w:p>
        </w:tc>
        <w:tc>
          <w:tcPr>
            <w:tcW w:type="dxa" w:w="2340"/>
            <w:tcBorders>
              <w:top w:val="single" w:color="BBBBBB" w:sz="4"/>
              <w:left w:val="single" w:color="BBBBBB" w:sz="4"/>
              <w:bottom w:val="single" w:color="BBBBBB" w:sz="4"/>
              <w:right w:val="single" w:color="BBBBBB" w:sz="4"/>
            </w:tcBorders>
            <w:shd w:fill="4A0E16"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Customers</w:t>
            </w:r>
          </w:p>
        </w:tc>
        <w:tc>
          <w:tcPr>
            <w:tcW w:type="dxa" w:w="2340"/>
            <w:tcBorders>
              <w:top w:val="single" w:color="BBBBBB" w:sz="4"/>
              <w:left w:val="single" w:color="BBBBBB" w:sz="4"/>
              <w:bottom w:val="single" w:color="BBBBBB" w:sz="4"/>
              <w:right w:val="single" w:color="BBBBBB" w:sz="4"/>
            </w:tcBorders>
            <w:shd w:fill="4A0E16"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Actual churn rate</w:t>
            </w:r>
          </w:p>
        </w:tc>
        <w:tc>
          <w:tcPr>
            <w:tcW w:type="dxa" w:w="2340"/>
            <w:tcBorders>
              <w:top w:val="single" w:color="BBBBBB" w:sz="4"/>
              <w:left w:val="single" w:color="BBBBBB" w:sz="4"/>
              <w:bottom w:val="single" w:color="BBBBBB" w:sz="4"/>
              <w:right w:val="single" w:color="BBBBBB" w:sz="4"/>
            </w:tcBorders>
            <w:shd w:fill="4A0E16"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Share of test set</w:t>
            </w:r>
          </w:p>
        </w:tc>
      </w:tr>
      <w:tr>
        <w:trPr>
          <w:cantSplit/>
        </w:trPr>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Low</w:t>
            </w:r>
          </w:p>
        </w:tc>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809</w:t>
            </w:r>
          </w:p>
        </w:tc>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8.2%</w:t>
            </w:r>
          </w:p>
        </w:tc>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57.4%</w:t>
            </w:r>
          </w:p>
        </w:tc>
      </w:tr>
      <w:tr>
        <w:trPr>
          <w:cantSplit/>
        </w:trPr>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Medium</w:t>
            </w:r>
          </w:p>
        </w:tc>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304</w:t>
            </w:r>
          </w:p>
        </w:tc>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36.5%</w:t>
            </w:r>
          </w:p>
        </w:tc>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21.6%</w:t>
            </w:r>
          </w:p>
        </w:tc>
      </w:tr>
      <w:tr>
        <w:trPr>
          <w:cantSplit/>
        </w:trPr>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High</w:t>
            </w:r>
          </w:p>
        </w:tc>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229</w:t>
            </w:r>
          </w:p>
        </w:tc>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62.9%</w:t>
            </w:r>
          </w:p>
        </w:tc>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16.3%</w:t>
            </w:r>
          </w:p>
        </w:tc>
      </w:tr>
      <w:tr>
        <w:trPr>
          <w:cantSplit/>
        </w:trPr>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Critical</w:t>
            </w:r>
          </w:p>
        </w:tc>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67</w:t>
            </w:r>
          </w:p>
        </w:tc>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79.1%</w:t>
            </w:r>
          </w:p>
        </w:tc>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4.8%</w:t>
            </w:r>
          </w:p>
        </w:tc>
      </w:tr>
    </w:tbl>
    <w:p>
      <w:pPr>
        <w:pStyle w:val="Heading1"/>
        <w:spacing w:after="120" w:before="280"/>
      </w:pPr>
      <w:r>
        <w:rPr>
          <w:rFonts w:ascii="Calibri" w:cs="Calibri" w:eastAsia="Calibri" w:hAnsi="Calibri"/>
          <w:b/>
          <w:bCs/>
          <w:color w:val="4A0E16"/>
          <w:sz w:val="30"/>
          <w:szCs w:val="30"/>
        </w:rPr>
        <w:t xml:space="preserve">4. Retention Recommendations</w:t>
      </w:r>
    </w:p>
    <w:p>
      <w:pPr>
        <w:pStyle w:val="Heading2"/>
        <w:keepNext/>
        <w:spacing w:after="80" w:before="200"/>
      </w:pPr>
      <w:r>
        <w:rPr>
          <w:rFonts w:ascii="Calibri" w:cs="Calibri" w:eastAsia="Calibri" w:hAnsi="Calibri"/>
          <w:b/>
          <w:bCs/>
          <w:color w:val="4A0E16"/>
          <w:sz w:val="24"/>
          <w:szCs w:val="24"/>
        </w:rPr>
        <w:t xml:space="preserve">Recommendation 1: Offer annual-contract discounts to month-to-month customers</w:t>
      </w:r>
    </w:p>
    <w:p>
      <w:pPr>
        <w:spacing w:after="120" w:line="264"/>
      </w:pPr>
      <w:r>
        <w:rPr>
          <w:rFonts w:ascii="Calibri" w:cs="Calibri" w:eastAsia="Calibri" w:hAnsi="Calibri"/>
          <w:b/>
          <w:bCs/>
          <w:sz w:val="22"/>
          <w:szCs w:val="22"/>
        </w:rPr>
        <w:t xml:space="preserve">Finding: </w:t>
      </w:r>
      <w:r>
        <w:rPr>
          <w:rFonts w:ascii="Calibri" w:cs="Calibri" w:eastAsia="Calibri" w:hAnsi="Calibri"/>
          <w:sz w:val="22"/>
          <w:szCs w:val="22"/>
        </w:rPr>
        <w:t xml:space="preserve">Month-to-month customers churn at 42.71%, about 15 times the two-year rate of 2.83%.</w:t>
      </w:r>
    </w:p>
    <w:p>
      <w:pPr>
        <w:spacing w:after="120" w:line="264"/>
      </w:pPr>
      <w:r>
        <w:rPr>
          <w:rFonts w:ascii="Calibri" w:cs="Calibri" w:eastAsia="Calibri" w:hAnsi="Calibri"/>
          <w:b/>
          <w:bCs/>
          <w:sz w:val="22"/>
          <w:szCs w:val="22"/>
        </w:rPr>
        <w:t xml:space="preserve">Evidence: </w:t>
      </w:r>
      <w:r>
        <w:rPr>
          <w:rFonts w:ascii="Calibri" w:cs="Calibri" w:eastAsia="Calibri" w:hAnsi="Calibri"/>
          <w:sz w:val="22"/>
          <w:szCs w:val="22"/>
        </w:rPr>
        <w:t xml:space="preserve">Churn Dashboard, revenue at risk by contract table; Churn Analysis, churn rate by contract chart.</w:t>
      </w:r>
    </w:p>
    <w:p>
      <w:pPr>
        <w:spacing w:after="120" w:line="264"/>
      </w:pPr>
      <w:r>
        <w:rPr>
          <w:rFonts w:ascii="Calibri" w:cs="Calibri" w:eastAsia="Calibri" w:hAnsi="Calibri"/>
          <w:b/>
          <w:bCs/>
          <w:sz w:val="22"/>
          <w:szCs w:val="22"/>
        </w:rPr>
        <w:t xml:space="preserve">Recommendation: </w:t>
      </w:r>
      <w:r>
        <w:rPr>
          <w:rFonts w:ascii="Calibri" w:cs="Calibri" w:eastAsia="Calibri" w:hAnsi="Calibri"/>
          <w:sz w:val="22"/>
          <w:szCs w:val="22"/>
        </w:rPr>
        <w:t xml:space="preserve">Offer a discounted one-year or two-year contract, starting with High and Critical risk month-to-month customers.</w:t>
      </w:r>
    </w:p>
    <w:p>
      <w:pPr>
        <w:spacing w:after="120" w:line="264"/>
      </w:pPr>
      <w:r>
        <w:rPr>
          <w:rFonts w:ascii="Calibri" w:cs="Calibri" w:eastAsia="Calibri" w:hAnsi="Calibri"/>
          <w:b/>
          <w:bCs/>
          <w:sz w:val="22"/>
          <w:szCs w:val="22"/>
        </w:rPr>
        <w:t xml:space="preserve">Expected Result: </w:t>
      </w:r>
      <w:r>
        <w:rPr>
          <w:rFonts w:ascii="Calibri" w:cs="Calibri" w:eastAsia="Calibri" w:hAnsi="Calibri"/>
          <w:sz w:val="22"/>
          <w:szCs w:val="22"/>
        </w:rPr>
        <w:t xml:space="preserve">Month-to-month customers account for $120,847 of the $139,131 churned monthly revenue. As an illustration, retaining 20% of that amount would be worth about $24,169 a month.</w:t>
      </w:r>
    </w:p>
    <w:p>
      <w:pPr>
        <w:pStyle w:val="Heading2"/>
        <w:keepNext/>
        <w:spacing w:after="80" w:before="200"/>
      </w:pPr>
      <w:r>
        <w:rPr>
          <w:rFonts w:ascii="Calibri" w:cs="Calibri" w:eastAsia="Calibri" w:hAnsi="Calibri"/>
          <w:b/>
          <w:bCs/>
          <w:color w:val="4A0E16"/>
          <w:sz w:val="24"/>
          <w:szCs w:val="24"/>
        </w:rPr>
        <w:t xml:space="preserve">Recommendation 2: Move manual-payment customers to automatic payment</w:t>
      </w:r>
    </w:p>
    <w:p>
      <w:pPr>
        <w:spacing w:after="120" w:line="264"/>
      </w:pPr>
      <w:r>
        <w:rPr>
          <w:rFonts w:ascii="Calibri" w:cs="Calibri" w:eastAsia="Calibri" w:hAnsi="Calibri"/>
          <w:b/>
          <w:bCs/>
          <w:sz w:val="22"/>
          <w:szCs w:val="22"/>
        </w:rPr>
        <w:t xml:space="preserve">Finding: </w:t>
      </w:r>
      <w:r>
        <w:rPr>
          <w:rFonts w:ascii="Calibri" w:cs="Calibri" w:eastAsia="Calibri" w:hAnsi="Calibri"/>
          <w:sz w:val="22"/>
          <w:szCs w:val="22"/>
        </w:rPr>
        <w:t xml:space="preserve">Automatic payment is associated with lower churn: 16.0% versus 34.7% for manual payers. The gap is 13.0 points on month-to-month contracts, 2.7 on one-year and 0.1 on two-year contracts, so contract type explains much of it.</w:t>
      </w:r>
    </w:p>
    <w:p>
      <w:pPr>
        <w:spacing w:after="120" w:line="264"/>
      </w:pPr>
      <w:r>
        <w:rPr>
          <w:rFonts w:ascii="Calibri" w:cs="Calibri" w:eastAsia="Calibri" w:hAnsi="Calibri"/>
          <w:b/>
          <w:bCs/>
          <w:sz w:val="22"/>
          <w:szCs w:val="22"/>
        </w:rPr>
        <w:t xml:space="preserve">Evidence: </w:t>
      </w:r>
      <w:r>
        <w:rPr>
          <w:rFonts w:ascii="Calibri" w:cs="Calibri" w:eastAsia="Calibri" w:hAnsi="Calibri"/>
          <w:sz w:val="22"/>
          <w:szCs w:val="22"/>
        </w:rPr>
        <w:t xml:space="preserve">Churn Analysis, auto-pay chart; within-contract gap table in the notebook, Section 4.1.</w:t>
      </w:r>
    </w:p>
    <w:p>
      <w:pPr>
        <w:spacing w:after="120" w:line="264"/>
      </w:pPr>
      <w:r>
        <w:rPr>
          <w:rFonts w:ascii="Calibri" w:cs="Calibri" w:eastAsia="Calibri" w:hAnsi="Calibri"/>
          <w:b/>
          <w:bCs/>
          <w:sz w:val="22"/>
          <w:szCs w:val="22"/>
        </w:rPr>
        <w:t xml:space="preserve">Recommendation: </w:t>
      </w:r>
      <w:r>
        <w:rPr>
          <w:rFonts w:ascii="Calibri" w:cs="Calibri" w:eastAsia="Calibri" w:hAnsi="Calibri"/>
          <w:sz w:val="22"/>
          <w:szCs w:val="22"/>
        </w:rPr>
        <w:t xml:space="preserve">Offer a one-time bill credit to manual-payment customers who switch to automatic payment. Keep this offer separate from the contract discount so each effect can be measured.</w:t>
      </w:r>
    </w:p>
    <w:p>
      <w:pPr>
        <w:spacing w:after="120" w:line="264"/>
      </w:pPr>
      <w:r>
        <w:rPr>
          <w:rFonts w:ascii="Calibri" w:cs="Calibri" w:eastAsia="Calibri" w:hAnsi="Calibri"/>
          <w:b/>
          <w:bCs/>
          <w:sz w:val="22"/>
          <w:szCs w:val="22"/>
        </w:rPr>
        <w:t xml:space="preserve">Expected Result: </w:t>
      </w:r>
      <w:r>
        <w:rPr>
          <w:rFonts w:ascii="Calibri" w:cs="Calibri" w:eastAsia="Calibri" w:hAnsi="Calibri"/>
          <w:sz w:val="22"/>
          <w:szCs w:val="22"/>
        </w:rPr>
        <w:t xml:space="preserve">Expect a smaller benefit than the raw 18.7-point difference suggests. Confirm the effect with a pilot group before scaling.</w:t>
      </w:r>
    </w:p>
    <w:p>
      <w:pPr>
        <w:pStyle w:val="Heading2"/>
        <w:keepNext/>
        <w:spacing w:after="80" w:before="200"/>
      </w:pPr>
      <w:r>
        <w:rPr>
          <w:rFonts w:ascii="Calibri" w:cs="Calibri" w:eastAsia="Calibri" w:hAnsi="Calibri"/>
          <w:b/>
          <w:bCs/>
          <w:color w:val="4A0E16"/>
          <w:sz w:val="24"/>
          <w:szCs w:val="24"/>
        </w:rPr>
        <w:t xml:space="preserve">Recommendation 3: Prioritize Senior Solo customers for outreach</w:t>
      </w:r>
    </w:p>
    <w:p>
      <w:pPr>
        <w:spacing w:after="120" w:line="264"/>
      </w:pPr>
      <w:r>
        <w:rPr>
          <w:rFonts w:ascii="Calibri" w:cs="Calibri" w:eastAsia="Calibri" w:hAnsi="Calibri"/>
          <w:b/>
          <w:bCs/>
          <w:sz w:val="22"/>
          <w:szCs w:val="22"/>
        </w:rPr>
        <w:t xml:space="preserve">Finding: </w:t>
      </w:r>
      <w:r>
        <w:rPr>
          <w:rFonts w:ascii="Calibri" w:cs="Calibri" w:eastAsia="Calibri" w:hAnsi="Calibri"/>
          <w:sz w:val="22"/>
          <w:szCs w:val="22"/>
        </w:rPr>
        <w:t xml:space="preserve">Senior Solo customers have the highest churn rate (49.2%) and the highest share flagged High or Critical risk (50.45%). Solo customers account for the largest flagged count (723).</w:t>
      </w:r>
    </w:p>
    <w:p>
      <w:pPr>
        <w:spacing w:after="120" w:line="264"/>
      </w:pPr>
      <w:r>
        <w:rPr>
          <w:rFonts w:ascii="Calibri" w:cs="Calibri" w:eastAsia="Calibri" w:hAnsi="Calibri"/>
          <w:b/>
          <w:bCs/>
          <w:sz w:val="22"/>
          <w:szCs w:val="22"/>
        </w:rPr>
        <w:t xml:space="preserve">Evidence: </w:t>
      </w:r>
      <w:r>
        <w:rPr>
          <w:rFonts w:ascii="Calibri" w:cs="Calibri" w:eastAsia="Calibri" w:hAnsi="Calibri"/>
          <w:sz w:val="22"/>
          <w:szCs w:val="22"/>
        </w:rPr>
        <w:t xml:space="preserve">Churn Analysis, churn rate by customer segment; Retention Dashboard, high-risk customers by segment table (in-sample scoring, all 7,043 customers).</w:t>
      </w:r>
    </w:p>
    <w:p>
      <w:pPr>
        <w:spacing w:after="120" w:line="264"/>
      </w:pPr>
      <w:r>
        <w:rPr>
          <w:rFonts w:ascii="Calibri" w:cs="Calibri" w:eastAsia="Calibri" w:hAnsi="Calibri"/>
          <w:b/>
          <w:bCs/>
          <w:sz w:val="22"/>
          <w:szCs w:val="22"/>
        </w:rPr>
        <w:t xml:space="preserve">Recommendation: </w:t>
      </w:r>
      <w:r>
        <w:rPr>
          <w:rFonts w:ascii="Calibri" w:cs="Calibri" w:eastAsia="Calibri" w:hAnsi="Calibri"/>
          <w:sz w:val="22"/>
          <w:szCs w:val="22"/>
        </w:rPr>
        <w:t xml:space="preserve">Assign a named account contact or proactive check-in call to Senior Solo customers in the High and Critical tiers.</w:t>
      </w:r>
    </w:p>
    <w:p>
      <w:pPr>
        <w:spacing w:after="120" w:line="264"/>
      </w:pPr>
      <w:r>
        <w:rPr>
          <w:rFonts w:ascii="Calibri" w:cs="Calibri" w:eastAsia="Calibri" w:hAnsi="Calibri"/>
          <w:b/>
          <w:bCs/>
          <w:sz w:val="22"/>
          <w:szCs w:val="22"/>
        </w:rPr>
        <w:t xml:space="preserve">Expected Result: </w:t>
      </w:r>
      <w:r>
        <w:rPr>
          <w:rFonts w:ascii="Calibri" w:cs="Calibri" w:eastAsia="Calibri" w:hAnsi="Calibri"/>
          <w:sz w:val="22"/>
          <w:szCs w:val="22"/>
        </w:rPr>
        <w:t xml:space="preserve">Retention effort goes to the segment with the highest concentration of risk. Measure whether churn among contacted customers falls relative to a control group.</w:t>
      </w:r>
    </w:p>
    <w:p>
      <w:pPr>
        <w:pStyle w:val="Heading2"/>
        <w:keepNext/>
        <w:spacing w:after="80" w:before="200"/>
      </w:pPr>
      <w:r>
        <w:rPr>
          <w:rFonts w:ascii="Calibri" w:cs="Calibri" w:eastAsia="Calibri" w:hAnsi="Calibri"/>
          <w:b/>
          <w:bCs/>
          <w:color w:val="4A0E16"/>
          <w:sz w:val="24"/>
          <w:szCs w:val="24"/>
        </w:rPr>
        <w:t xml:space="preserve">Recommendation 4: Use the risk tiers to set outreach order</w:t>
      </w:r>
    </w:p>
    <w:p>
      <w:pPr>
        <w:spacing w:after="120" w:line="264"/>
      </w:pPr>
      <w:r>
        <w:rPr>
          <w:rFonts w:ascii="Calibri" w:cs="Calibri" w:eastAsia="Calibri" w:hAnsi="Calibri"/>
          <w:b/>
          <w:bCs/>
          <w:sz w:val="22"/>
          <w:szCs w:val="22"/>
        </w:rPr>
        <w:t xml:space="preserve">Finding: </w:t>
      </w:r>
      <w:r>
        <w:rPr>
          <w:rFonts w:ascii="Calibri" w:cs="Calibri" w:eastAsia="Calibri" w:hAnsi="Calibri"/>
          <w:sz w:val="22"/>
          <w:szCs w:val="22"/>
        </w:rPr>
        <w:t xml:space="preserve">On held-out data, actual churn is 8.2% in the Low tier and 79.1% in the Critical tier. Among High and Critical customers, predicted churn (65.0%) is close to observed churn (66.55%).</w:t>
      </w:r>
    </w:p>
    <w:p>
      <w:pPr>
        <w:spacing w:after="120" w:line="264"/>
      </w:pPr>
      <w:r>
        <w:rPr>
          <w:rFonts w:ascii="Calibri" w:cs="Calibri" w:eastAsia="Calibri" w:hAnsi="Calibri"/>
          <w:b/>
          <w:bCs/>
          <w:sz w:val="22"/>
          <w:szCs w:val="22"/>
        </w:rPr>
        <w:t xml:space="preserve">Evidence: </w:t>
      </w:r>
      <w:r>
        <w:rPr>
          <w:rFonts w:ascii="Calibri" w:cs="Calibri" w:eastAsia="Calibri" w:hAnsi="Calibri"/>
          <w:sz w:val="22"/>
          <w:szCs w:val="22"/>
        </w:rPr>
        <w:t xml:space="preserve">Retention Dashboard, risk tiers; Model Comparison, ROC-AUC 0.844; calibration table in the notebook, Section 6.</w:t>
      </w:r>
    </w:p>
    <w:p>
      <w:pPr>
        <w:spacing w:after="120" w:line="264"/>
      </w:pPr>
      <w:r>
        <w:rPr>
          <w:rFonts w:ascii="Calibri" w:cs="Calibri" w:eastAsia="Calibri" w:hAnsi="Calibri"/>
          <w:b/>
          <w:bCs/>
          <w:sz w:val="22"/>
          <w:szCs w:val="22"/>
        </w:rPr>
        <w:t xml:space="preserve">Recommendation: </w:t>
      </w:r>
      <w:r>
        <w:rPr>
          <w:rFonts w:ascii="Calibri" w:cs="Calibri" w:eastAsia="Calibri" w:hAnsi="Calibri"/>
          <w:sz w:val="22"/>
          <w:szCs w:val="22"/>
        </w:rPr>
        <w:t xml:space="preserve">Contact Critical customers first, then High. Use the Threshold Analysis page to choose a cutoff that matches the team's capacity.</w:t>
      </w:r>
    </w:p>
    <w:p>
      <w:pPr>
        <w:spacing w:after="120" w:line="264"/>
      </w:pPr>
      <w:r>
        <w:rPr>
          <w:rFonts w:ascii="Calibri" w:cs="Calibri" w:eastAsia="Calibri" w:hAnsi="Calibri"/>
          <w:b/>
          <w:bCs/>
          <w:sz w:val="22"/>
          <w:szCs w:val="22"/>
        </w:rPr>
        <w:t xml:space="preserve">Expected Result: </w:t>
      </w:r>
      <w:r>
        <w:rPr>
          <w:rFonts w:ascii="Calibri" w:cs="Calibri" w:eastAsia="Calibri" w:hAnsi="Calibri"/>
          <w:sz w:val="22"/>
          <w:szCs w:val="22"/>
        </w:rPr>
        <w:t xml:space="preserve">Retention effort goes to the customers most likely to leave, rather than being spread across the whole base.</w:t>
      </w:r>
    </w:p>
    <w:p>
      <w:pPr>
        <w:pStyle w:val="Heading2"/>
        <w:keepNext/>
        <w:spacing w:after="80" w:before="200"/>
      </w:pPr>
      <w:r>
        <w:rPr>
          <w:rFonts w:ascii="Calibri" w:cs="Calibri" w:eastAsia="Calibri" w:hAnsi="Calibri"/>
          <w:b/>
          <w:bCs/>
          <w:color w:val="4A0E16"/>
          <w:sz w:val="24"/>
          <w:szCs w:val="24"/>
        </w:rPr>
        <w:t xml:space="preserve">Recommendation 5: Run the monthly high-risk campaign with a control group</w:t>
      </w:r>
    </w:p>
    <w:p>
      <w:pPr>
        <w:spacing w:after="120" w:line="264"/>
      </w:pPr>
      <w:r>
        <w:rPr>
          <w:rFonts w:ascii="Calibri" w:cs="Calibri" w:eastAsia="Calibri" w:hAnsi="Calibri"/>
          <w:b/>
          <w:bCs/>
          <w:sz w:val="22"/>
          <w:szCs w:val="22"/>
        </w:rPr>
        <w:t xml:space="preserve">Finding: </w:t>
      </w:r>
      <w:r>
        <w:rPr>
          <w:rFonts w:ascii="Calibri" w:cs="Calibri" w:eastAsia="Calibri" w:hAnsi="Calibri"/>
          <w:sz w:val="22"/>
          <w:szCs w:val="22"/>
        </w:rPr>
        <w:t xml:space="preserve">About 21% of customers fall in the High or Critical tiers. At the default 0.50 threshold, the model flags 296 of the 1,409 test-set customers.</w:t>
      </w:r>
    </w:p>
    <w:p>
      <w:pPr>
        <w:spacing w:after="120" w:line="264"/>
      </w:pPr>
      <w:r>
        <w:rPr>
          <w:rFonts w:ascii="Calibri" w:cs="Calibri" w:eastAsia="Calibri" w:hAnsi="Calibri"/>
          <w:b/>
          <w:bCs/>
          <w:sz w:val="22"/>
          <w:szCs w:val="22"/>
        </w:rPr>
        <w:t xml:space="preserve">Evidence: </w:t>
      </w:r>
      <w:r>
        <w:rPr>
          <w:rFonts w:ascii="Calibri" w:cs="Calibri" w:eastAsia="Calibri" w:hAnsi="Calibri"/>
          <w:sz w:val="22"/>
          <w:szCs w:val="22"/>
        </w:rPr>
        <w:t xml:space="preserve">Retention Dashboard, downloadable high-risk customer list; Threshold Analysis, precision and recall at each threshold.</w:t>
      </w:r>
    </w:p>
    <w:p>
      <w:pPr>
        <w:spacing w:after="120" w:line="264"/>
      </w:pPr>
      <w:r>
        <w:rPr>
          <w:rFonts w:ascii="Calibri" w:cs="Calibri" w:eastAsia="Calibri" w:hAnsi="Calibri"/>
          <w:b/>
          <w:bCs/>
          <w:sz w:val="22"/>
          <w:szCs w:val="22"/>
        </w:rPr>
        <w:t xml:space="preserve">Recommendation: </w:t>
      </w:r>
      <w:r>
        <w:rPr>
          <w:rFonts w:ascii="Calibri" w:cs="Calibri" w:eastAsia="Calibri" w:hAnsi="Calibri"/>
          <w:sz w:val="22"/>
          <w:szCs w:val="22"/>
        </w:rPr>
        <w:t xml:space="preserve">Export the high-risk list each month, contact a sample of it, and hold back a control group that receives no outreach.</w:t>
      </w:r>
    </w:p>
    <w:p>
      <w:pPr>
        <w:spacing w:after="120" w:line="264"/>
      </w:pPr>
      <w:r>
        <w:rPr>
          <w:rFonts w:ascii="Calibri" w:cs="Calibri" w:eastAsia="Calibri" w:hAnsi="Calibri"/>
          <w:b/>
          <w:bCs/>
          <w:sz w:val="22"/>
          <w:szCs w:val="22"/>
        </w:rPr>
        <w:t xml:space="preserve">Expected Result: </w:t>
      </w:r>
      <w:r>
        <w:rPr>
          <w:rFonts w:ascii="Calibri" w:cs="Calibri" w:eastAsia="Calibri" w:hAnsi="Calibri"/>
          <w:sz w:val="22"/>
          <w:szCs w:val="22"/>
        </w:rPr>
        <w:t xml:space="preserve">The business learns which action works and can measure the revenue it protects, rather than relying on the model score alone.</w:t>
      </w:r>
    </w:p>
    <w:p>
      <w:pPr>
        <w:pStyle w:val="Heading1"/>
        <w:spacing w:after="120" w:before="280"/>
      </w:pPr>
      <w:r>
        <w:rPr>
          <w:rFonts w:ascii="Calibri" w:cs="Calibri" w:eastAsia="Calibri" w:hAnsi="Calibri"/>
          <w:b/>
          <w:bCs/>
          <w:color w:val="4A0E16"/>
          <w:sz w:val="30"/>
          <w:szCs w:val="30"/>
        </w:rPr>
        <w:t xml:space="preserve">5. Limitations</w:t>
      </w:r>
    </w:p>
    <w:p>
      <w:pPr>
        <w:pStyle w:val="ListParagraph"/>
        <w:numPr>
          <w:ilvl w:val="0"/>
          <w:numId w:val="2"/>
        </w:numPr>
        <w:spacing w:after="80" w:line="264"/>
      </w:pPr>
      <w:r>
        <w:rPr>
          <w:rFonts w:ascii="Calibri" w:cs="Calibri" w:eastAsia="Calibri" w:hAnsi="Calibri"/>
          <w:b/>
          <w:bCs/>
          <w:sz w:val="22"/>
          <w:szCs w:val="22"/>
        </w:rPr>
        <w:t xml:space="preserve">Association, not causation. </w:t>
      </w:r>
      <w:r>
        <w:rPr>
          <w:rFonts w:ascii="Calibri" w:cs="Calibri" w:eastAsia="Calibri" w:hAnsi="Calibri"/>
          <w:sz w:val="22"/>
          <w:szCs w:val="22"/>
        </w:rPr>
        <w:t xml:space="preserve">The model finds patterns in historical data. A high risk score does not show that a price, service or contract causes a customer to leave, so actions should be piloted with a control group.</w:t>
      </w:r>
    </w:p>
    <w:p>
      <w:pPr>
        <w:pStyle w:val="ListParagraph"/>
        <w:numPr>
          <w:ilvl w:val="0"/>
          <w:numId w:val="2"/>
        </w:numPr>
        <w:spacing w:after="80" w:line="264"/>
      </w:pPr>
      <w:r>
        <w:rPr>
          <w:rFonts w:ascii="Calibri" w:cs="Calibri" w:eastAsia="Calibri" w:hAnsi="Calibri"/>
          <w:b/>
          <w:bCs/>
          <w:sz w:val="22"/>
          <w:szCs w:val="22"/>
        </w:rPr>
        <w:t xml:space="preserve">Missing fields. </w:t>
      </w:r>
      <w:r>
        <w:rPr>
          <w:rFonts w:ascii="Calibri" w:cs="Calibri" w:eastAsia="Calibri" w:hAnsi="Calibri"/>
          <w:sz w:val="22"/>
          <w:szCs w:val="22"/>
        </w:rPr>
        <w:t xml:space="preserve">The dataset does not include satisfaction, complaints, support tickets, late payments, NPS, region or referral data, so those factors could not be tested. Tech Support, payment method and paperless billing were used as the nearest proxies.</w:t>
      </w:r>
    </w:p>
    <w:p>
      <w:pPr>
        <w:pStyle w:val="ListParagraph"/>
        <w:numPr>
          <w:ilvl w:val="0"/>
          <w:numId w:val="2"/>
        </w:numPr>
        <w:spacing w:after="80" w:line="264"/>
      </w:pPr>
      <w:r>
        <w:rPr>
          <w:rFonts w:ascii="Calibri" w:cs="Calibri" w:eastAsia="Calibri" w:hAnsi="Calibri"/>
          <w:b/>
          <w:bCs/>
          <w:sz w:val="22"/>
          <w:szCs w:val="22"/>
        </w:rPr>
        <w:t xml:space="preserve">In-sample scoring on the Retention Dashboard. </w:t>
      </w:r>
      <w:r>
        <w:rPr>
          <w:rFonts w:ascii="Calibri" w:cs="Calibri" w:eastAsia="Calibri" w:hAnsi="Calibri"/>
          <w:sz w:val="22"/>
          <w:szCs w:val="22"/>
        </w:rPr>
        <w:t xml:space="preserve">The dashboard scores all 7,043 customers, including the 80% used for training, so it shows 1,477 High or Critical customers and $76,429.55 of expected monthly revenue at risk. Out-of-sample, the test set has 296 High or Critical customers and about $15,030. Quote the held-out figures as the expected performance.</w:t>
      </w:r>
    </w:p>
    <w:p>
      <w:pPr>
        <w:pStyle w:val="ListParagraph"/>
        <w:numPr>
          <w:ilvl w:val="0"/>
          <w:numId w:val="2"/>
        </w:numPr>
        <w:spacing w:after="80" w:line="264"/>
      </w:pPr>
      <w:r>
        <w:rPr>
          <w:rFonts w:ascii="Calibri" w:cs="Calibri" w:eastAsia="Calibri" w:hAnsi="Calibri"/>
          <w:b/>
          <w:bCs/>
          <w:sz w:val="22"/>
          <w:szCs w:val="22"/>
        </w:rPr>
        <w:t xml:space="preserve">Single snapshot. </w:t>
      </w:r>
      <w:r>
        <w:rPr>
          <w:rFonts w:ascii="Calibri" w:cs="Calibri" w:eastAsia="Calibri" w:hAnsi="Calibri"/>
          <w:sz w:val="22"/>
          <w:szCs w:val="22"/>
        </w:rPr>
        <w:t xml:space="preserve">The data is one point in time, so the model cannot see how a customer's status changed over time.</w:t>
      </w:r>
    </w:p>
    <w:sectPr>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4A0E16"/>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4A0E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Business-Insight Report: Customer Churn Prediction and Retention</dc:title>
  <dc:creator>Zaid Ali</dc:creator>
  <cp:lastModifiedBy>Un-named</cp:lastModifiedBy>
  <cp:revision>1</cp:revision>
  <dcterms:created xsi:type="dcterms:W3CDTF">2026-10-22T18:42:32.042Z</dcterms:created>
  <dcterms:modified xsi:type="dcterms:W3CDTF">2026-10-22T18:42:32.042Z</dcterms:modified>
</cp:coreProperties>
</file>

<file path=docProps/custom.xml><?xml version="1.0" encoding="utf-8"?>
<Properties xmlns="http://schemas.openxmlformats.org/officeDocument/2006/custom-properties" xmlns:vt="http://schemas.openxmlformats.org/officeDocument/2006/docPropsVTypes"/>
</file>