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6F" w:rsidRDefault="001E026F" w:rsidP="001E02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inline distT="0" distB="0" distL="0" distR="0" wp14:anchorId="553B7C24" wp14:editId="6616649E">
            <wp:extent cx="5731510" cy="1472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UM-Full-Logo-Colour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KULLIYAH OF INFORMATION AND COMMUNICATION TECHNOLOGY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CSC 1706 PROBABILITY AND STATISTICS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 2, 2017/2018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4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GROUP 4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DATA: UNEMPLOYMENT RATE STATISTICS IN MALAYSIA IN YEAR 2011, 2012 AND 2013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E026F" w:rsidRDefault="001E026F" w:rsidP="001E026F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30"/>
      </w:tblGrid>
      <w:tr w:rsidR="001E026F" w:rsidTr="002E0FF0">
        <w:tc>
          <w:tcPr>
            <w:tcW w:w="6912" w:type="dxa"/>
          </w:tcPr>
          <w:p w:rsidR="001E026F" w:rsidRPr="008149B4" w:rsidRDefault="001E026F" w:rsidP="002E0F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0" w:type="dxa"/>
          </w:tcPr>
          <w:p w:rsidR="001E026F" w:rsidRPr="008149B4" w:rsidRDefault="001E026F" w:rsidP="002E0FF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49B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MATRIC NO.</w:t>
            </w:r>
          </w:p>
        </w:tc>
      </w:tr>
      <w:tr w:rsidR="001E026F" w:rsidTr="002E0FF0">
        <w:tc>
          <w:tcPr>
            <w:tcW w:w="6912" w:type="dxa"/>
          </w:tcPr>
          <w:p w:rsidR="001E026F" w:rsidRDefault="001E026F" w:rsidP="002E0FF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Adnan</w:t>
            </w:r>
          </w:p>
        </w:tc>
        <w:tc>
          <w:tcPr>
            <w:tcW w:w="2330" w:type="dxa"/>
          </w:tcPr>
          <w:p w:rsidR="001E026F" w:rsidRDefault="001E026F" w:rsidP="002E0F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1718733</w:t>
            </w:r>
          </w:p>
        </w:tc>
      </w:tr>
      <w:tr w:rsidR="001E026F" w:rsidTr="002E0FF0">
        <w:tc>
          <w:tcPr>
            <w:tcW w:w="6912" w:type="dxa"/>
          </w:tcPr>
          <w:p w:rsidR="001E026F" w:rsidRDefault="001E026F" w:rsidP="002E0FF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Taqiyuddin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Zubir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1E026F" w:rsidRDefault="001E026F" w:rsidP="002E0F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1714113</w:t>
            </w:r>
          </w:p>
        </w:tc>
      </w:tr>
      <w:tr w:rsidR="001E026F" w:rsidTr="002E0FF0">
        <w:tc>
          <w:tcPr>
            <w:tcW w:w="6912" w:type="dxa"/>
          </w:tcPr>
          <w:p w:rsidR="001E026F" w:rsidRDefault="001E026F" w:rsidP="002E0FF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Safiyyah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Ghazali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Othman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Taufik</w:t>
            </w:r>
            <w:proofErr w:type="spellEnd"/>
          </w:p>
        </w:tc>
        <w:tc>
          <w:tcPr>
            <w:tcW w:w="2330" w:type="dxa"/>
          </w:tcPr>
          <w:p w:rsidR="001E026F" w:rsidRDefault="001E026F" w:rsidP="002E0F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1718532</w:t>
            </w:r>
          </w:p>
        </w:tc>
      </w:tr>
      <w:tr w:rsidR="001E026F" w:rsidTr="002E0FF0">
        <w:tc>
          <w:tcPr>
            <w:tcW w:w="6912" w:type="dxa"/>
          </w:tcPr>
          <w:p w:rsidR="001E026F" w:rsidRDefault="001E026F" w:rsidP="002E0FF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Zahin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Fikri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Rozlee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1E026F" w:rsidRDefault="001E026F" w:rsidP="002E0F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445E7">
              <w:rPr>
                <w:rFonts w:asciiTheme="majorBidi" w:hAnsiTheme="majorBidi" w:cstheme="majorBidi"/>
                <w:sz w:val="24"/>
                <w:szCs w:val="24"/>
              </w:rPr>
              <w:t>1713089</w:t>
            </w:r>
          </w:p>
        </w:tc>
      </w:tr>
      <w:tr w:rsidR="001E026F" w:rsidTr="002E0FF0">
        <w:tc>
          <w:tcPr>
            <w:tcW w:w="6912" w:type="dxa"/>
          </w:tcPr>
          <w:p w:rsidR="001E026F" w:rsidRDefault="001E026F" w:rsidP="002E0FF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Shafiq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Azhar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Shahrizal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330" w:type="dxa"/>
          </w:tcPr>
          <w:p w:rsidR="001E026F" w:rsidRPr="000445E7" w:rsidRDefault="001E026F" w:rsidP="002E0FF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1AF0">
              <w:rPr>
                <w:rFonts w:asciiTheme="majorBidi" w:hAnsiTheme="majorBidi" w:cstheme="majorBidi"/>
                <w:sz w:val="24"/>
                <w:szCs w:val="24"/>
              </w:rPr>
              <w:t>1616313</w:t>
            </w:r>
          </w:p>
        </w:tc>
      </w:tr>
    </w:tbl>
    <w:p w:rsidR="001E026F" w:rsidRDefault="001E026F" w:rsidP="001E026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LECTURER</w:t>
      </w:r>
    </w:p>
    <w:p w:rsidR="001E026F" w:rsidRPr="00561AF0" w:rsidRDefault="001E026F" w:rsidP="001E026F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AFIDALINA TUMIAN</w:t>
      </w: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E026F" w:rsidRDefault="001E026F" w:rsidP="001E02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DUE</w:t>
      </w:r>
    </w:p>
    <w:p w:rsidR="001E026F" w:rsidRDefault="001E026F" w:rsidP="001E026F">
      <w:pPr>
        <w:tabs>
          <w:tab w:val="center" w:pos="4513"/>
          <w:tab w:val="left" w:pos="59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27</w:t>
      </w:r>
      <w:r>
        <w:rPr>
          <w:rFonts w:asciiTheme="majorBidi" w:hAnsiTheme="majorBidi" w:cstheme="majorBidi"/>
          <w:sz w:val="24"/>
          <w:szCs w:val="24"/>
        </w:rPr>
        <w:t xml:space="preserve"> MARCH 2018</w:t>
      </w:r>
    </w:p>
    <w:p w:rsidR="001E026F" w:rsidRDefault="001E02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E026F" w:rsidRPr="003847AE" w:rsidRDefault="001E026F" w:rsidP="003847AE">
      <w:pPr>
        <w:tabs>
          <w:tab w:val="center" w:pos="4513"/>
          <w:tab w:val="left" w:pos="5956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E026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Introduction</w:t>
      </w:r>
    </w:p>
    <w:p w:rsidR="001E026F" w:rsidRDefault="001E026F" w:rsidP="001E026F">
      <w:pPr>
        <w:tabs>
          <w:tab w:val="center" w:pos="4513"/>
          <w:tab w:val="left" w:pos="595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E026F">
        <w:rPr>
          <w:rFonts w:asciiTheme="majorBidi" w:hAnsiTheme="majorBidi" w:cstheme="majorBidi"/>
          <w:sz w:val="24"/>
          <w:szCs w:val="24"/>
        </w:rPr>
        <w:t>The data that our group has chosen to analyse is regarding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unemployment rate categorized by state in the years 2011, 2012 and 2013 by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Department of Statistics Malaysia. The data shows the total number of people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are unemployed in each state in Malaysia. The type of our data is population since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we are studying the number of people. The type of statistics involved is descriptive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statistics which consists of collection, organization, summarization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presentation of data. The type of data is quantitative discrete since our data can be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E026F">
        <w:rPr>
          <w:rFonts w:asciiTheme="majorBidi" w:hAnsiTheme="majorBidi" w:cstheme="majorBidi"/>
          <w:sz w:val="24"/>
          <w:szCs w:val="24"/>
        </w:rPr>
        <w:t>ranked and there should not be any fractions in the data.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7C2B2E" w:rsidRDefault="007C2B2E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rPr>
          <w:b/>
          <w:sz w:val="24"/>
          <w:u w:val="single"/>
        </w:rPr>
        <w:sectPr w:rsidR="004634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E026F" w:rsidRPr="00463480" w:rsidRDefault="001E026F" w:rsidP="001E026F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463480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Unemployment rate by state in 2011</w:t>
      </w:r>
    </w:p>
    <w:p w:rsidR="001E026F" w:rsidRPr="00463480" w:rsidRDefault="001E026F" w:rsidP="001E026F">
      <w:pPr>
        <w:rPr>
          <w:rFonts w:asciiTheme="majorBidi" w:hAnsiTheme="majorBidi" w:cstheme="majorBidi"/>
          <w:sz w:val="24"/>
          <w:szCs w:val="24"/>
        </w:rPr>
      </w:pPr>
    </w:p>
    <w:p w:rsidR="001E026F" w:rsidRPr="00463480" w:rsidRDefault="001E026F" w:rsidP="001E026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769"/>
      </w:tblGrid>
      <w:tr w:rsidR="001E026F" w:rsidRPr="00463480" w:rsidTr="00463480">
        <w:trPr>
          <w:trHeight w:val="300"/>
        </w:trPr>
        <w:tc>
          <w:tcPr>
            <w:tcW w:w="1600" w:type="dxa"/>
            <w:shd w:val="clear" w:color="auto" w:fill="B8CCE4" w:themeFill="accent1" w:themeFillTint="66"/>
            <w:noWrap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State</w:t>
            </w:r>
          </w:p>
        </w:tc>
        <w:tc>
          <w:tcPr>
            <w:tcW w:w="1769" w:type="dxa"/>
            <w:shd w:val="clear" w:color="auto" w:fill="B8CCE4" w:themeFill="accent1" w:themeFillTint="66"/>
            <w:noWrap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Percentage</w:t>
            </w:r>
            <w:r w:rsidR="00463480"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(%)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Johor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2.5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Kedah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3.5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Kelantan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Malaysia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Melaka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Negeri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Sembilan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Pahang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2.6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Perak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2.6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Perlis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Pulau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Pinang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1.9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Sabah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5.6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Sarawak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Selangor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Terengganu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 Labuan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 Kuala Lumpur</w:t>
            </w:r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W.P.Putrajaya</w:t>
            </w:r>
            <w:proofErr w:type="spellEnd"/>
          </w:p>
        </w:tc>
        <w:tc>
          <w:tcPr>
            <w:tcW w:w="1769" w:type="dxa"/>
            <w:noWrap/>
            <w:hideMark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</w:tr>
      <w:tr w:rsidR="001E026F" w:rsidRPr="00463480" w:rsidTr="00463480">
        <w:trPr>
          <w:trHeight w:val="300"/>
        </w:trPr>
        <w:tc>
          <w:tcPr>
            <w:tcW w:w="1600" w:type="dxa"/>
            <w:shd w:val="clear" w:color="auto" w:fill="B8CCE4" w:themeFill="accent1" w:themeFillTint="66"/>
            <w:noWrap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1769" w:type="dxa"/>
            <w:shd w:val="clear" w:color="auto" w:fill="B8CCE4" w:themeFill="accent1" w:themeFillTint="66"/>
            <w:noWrap/>
          </w:tcPr>
          <w:p w:rsidR="001E026F" w:rsidRPr="00463480" w:rsidRDefault="001E026F" w:rsidP="002E0FF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49.5</w:t>
            </w:r>
          </w:p>
        </w:tc>
      </w:tr>
    </w:tbl>
    <w:p w:rsidR="00463480" w:rsidRDefault="00463480" w:rsidP="001E026F">
      <w:pPr>
        <w:rPr>
          <w:rFonts w:asciiTheme="majorBidi" w:hAnsiTheme="majorBidi" w:cstheme="majorBidi"/>
          <w:sz w:val="24"/>
          <w:szCs w:val="24"/>
        </w:rPr>
      </w:pPr>
    </w:p>
    <w:p w:rsidR="003847AE" w:rsidRPr="00463480" w:rsidRDefault="003847AE" w:rsidP="001E026F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63480" w:rsidRPr="00463480" w:rsidRDefault="00463480" w:rsidP="001E026F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47AE" w:rsidRDefault="003847AE" w:rsidP="001E026F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63480" w:rsidRPr="00463480" w:rsidRDefault="00463480" w:rsidP="001E026F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463480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Unemployment rate by state in 2012</w:t>
      </w:r>
    </w:p>
    <w:tbl>
      <w:tblPr>
        <w:tblStyle w:val="TableGrid"/>
        <w:tblpPr w:leftFromText="180" w:rightFromText="180" w:vertAnchor="text" w:horzAnchor="page" w:tblpX="6418" w:tblpY="1070"/>
        <w:tblW w:w="0" w:type="auto"/>
        <w:tblLook w:val="04A0" w:firstRow="1" w:lastRow="0" w:firstColumn="1" w:lastColumn="0" w:noHBand="0" w:noVBand="1"/>
      </w:tblPr>
      <w:tblGrid>
        <w:gridCol w:w="1603"/>
        <w:gridCol w:w="1910"/>
      </w:tblGrid>
      <w:tr w:rsidR="00463480" w:rsidRPr="00463480" w:rsidTr="00463480">
        <w:trPr>
          <w:trHeight w:val="70"/>
        </w:trPr>
        <w:tc>
          <w:tcPr>
            <w:tcW w:w="1600" w:type="dxa"/>
            <w:shd w:val="clear" w:color="auto" w:fill="B8CCE4" w:themeFill="accent1" w:themeFillTint="66"/>
            <w:noWrap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State</w:t>
            </w:r>
          </w:p>
        </w:tc>
        <w:tc>
          <w:tcPr>
            <w:tcW w:w="1910" w:type="dxa"/>
            <w:shd w:val="clear" w:color="auto" w:fill="B8CCE4" w:themeFill="accent1" w:themeFillTint="66"/>
            <w:noWrap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Percentage</w:t>
            </w: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(%)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Johor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Kedah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2.9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Kelantan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Malaysia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Melaka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Negeri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Sembilan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Pahang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2.7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Perak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Perlis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3.9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Pulau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Pinang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Sabah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5.6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Sarawak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3.5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Selangor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Terengganu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 Labuan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4.6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 Kuala Lumpur</w:t>
            </w:r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2.7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W.P.Putrajaya</w:t>
            </w:r>
            <w:proofErr w:type="spellEnd"/>
          </w:p>
        </w:tc>
        <w:tc>
          <w:tcPr>
            <w:tcW w:w="1910" w:type="dxa"/>
            <w:noWrap/>
            <w:hideMark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</w:tr>
      <w:tr w:rsidR="00463480" w:rsidRPr="00463480" w:rsidTr="00463480">
        <w:trPr>
          <w:trHeight w:val="300"/>
        </w:trPr>
        <w:tc>
          <w:tcPr>
            <w:tcW w:w="1600" w:type="dxa"/>
            <w:shd w:val="clear" w:color="auto" w:fill="B8CCE4" w:themeFill="accent1" w:themeFillTint="66"/>
            <w:noWrap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1910" w:type="dxa"/>
            <w:shd w:val="clear" w:color="auto" w:fill="B8CCE4" w:themeFill="accent1" w:themeFillTint="66"/>
            <w:noWrap/>
          </w:tcPr>
          <w:p w:rsidR="00463480" w:rsidRPr="00463480" w:rsidRDefault="00463480" w:rsidP="00463480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49.6</w:t>
            </w:r>
          </w:p>
        </w:tc>
      </w:tr>
    </w:tbl>
    <w:p w:rsidR="00463480" w:rsidRPr="00463480" w:rsidRDefault="00463480" w:rsidP="001E026F">
      <w:pPr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rPr>
          <w:rFonts w:asciiTheme="majorBidi" w:hAnsiTheme="majorBidi" w:cstheme="majorBidi"/>
          <w:sz w:val="24"/>
          <w:szCs w:val="24"/>
        </w:rPr>
      </w:pPr>
    </w:p>
    <w:p w:rsidR="001E026F" w:rsidRPr="00463480" w:rsidRDefault="001E026F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A6CB8" w:rsidRDefault="00BA6CB8" w:rsidP="001E026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3847AE" w:rsidRDefault="003847AE" w:rsidP="001E026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463480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Unemployment rate by state in 2013</w:t>
      </w:r>
    </w:p>
    <w:tbl>
      <w:tblPr>
        <w:tblStyle w:val="TableGrid"/>
        <w:tblpPr w:leftFromText="180" w:rightFromText="180" w:vertAnchor="text" w:horzAnchor="margin" w:tblpY="678"/>
        <w:tblOverlap w:val="never"/>
        <w:tblW w:w="0" w:type="auto"/>
        <w:tblLook w:val="04A0" w:firstRow="1" w:lastRow="0" w:firstColumn="1" w:lastColumn="0" w:noHBand="0" w:noVBand="1"/>
      </w:tblPr>
      <w:tblGrid>
        <w:gridCol w:w="1603"/>
        <w:gridCol w:w="1769"/>
      </w:tblGrid>
      <w:tr w:rsidR="003847AE" w:rsidRPr="00463480" w:rsidTr="003847AE">
        <w:trPr>
          <w:trHeight w:val="300"/>
        </w:trPr>
        <w:tc>
          <w:tcPr>
            <w:tcW w:w="1603" w:type="dxa"/>
            <w:shd w:val="clear" w:color="auto" w:fill="B8CCE4" w:themeFill="accent1" w:themeFillTint="66"/>
            <w:noWrap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State</w:t>
            </w:r>
          </w:p>
        </w:tc>
        <w:tc>
          <w:tcPr>
            <w:tcW w:w="1769" w:type="dxa"/>
            <w:shd w:val="clear" w:color="auto" w:fill="B8CCE4" w:themeFill="accent1" w:themeFillTint="66"/>
            <w:noWrap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Percentage (%)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Johor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2.8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Kedah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Kelantan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2.8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Malaysia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Melaka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0.7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Negeri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Sembilan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Pahang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2.8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Perak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3.8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Perlis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Pulau</w:t>
            </w:r>
            <w:proofErr w:type="spellEnd"/>
            <w:r w:rsidRPr="00463480">
              <w:rPr>
                <w:rFonts w:asciiTheme="majorBidi" w:hAnsiTheme="majorBidi" w:cstheme="majorBidi"/>
                <w:sz w:val="24"/>
                <w:szCs w:val="24"/>
              </w:rPr>
              <w:t xml:space="preserve"> Pinang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1.7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Sabah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5.3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Sarawak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Selangor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2.4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Terengganu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3.4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 Labuan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 Kuala Lumpur</w:t>
            </w:r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3.3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63480">
              <w:rPr>
                <w:rFonts w:asciiTheme="majorBidi" w:hAnsiTheme="majorBidi" w:cstheme="majorBidi"/>
                <w:sz w:val="24"/>
                <w:szCs w:val="24"/>
              </w:rPr>
              <w:t>W.P.Putrajaya</w:t>
            </w:r>
            <w:proofErr w:type="spellEnd"/>
          </w:p>
        </w:tc>
        <w:tc>
          <w:tcPr>
            <w:tcW w:w="1769" w:type="dxa"/>
            <w:noWrap/>
            <w:hideMark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</w:tr>
      <w:tr w:rsidR="003847AE" w:rsidRPr="00463480" w:rsidTr="003847AE">
        <w:trPr>
          <w:trHeight w:val="300"/>
        </w:trPr>
        <w:tc>
          <w:tcPr>
            <w:tcW w:w="1603" w:type="dxa"/>
            <w:shd w:val="clear" w:color="auto" w:fill="B8CCE4" w:themeFill="accent1" w:themeFillTint="66"/>
            <w:noWrap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Total</w:t>
            </w:r>
          </w:p>
        </w:tc>
        <w:tc>
          <w:tcPr>
            <w:tcW w:w="1769" w:type="dxa"/>
            <w:shd w:val="clear" w:color="auto" w:fill="B8CCE4" w:themeFill="accent1" w:themeFillTint="66"/>
            <w:noWrap/>
          </w:tcPr>
          <w:p w:rsidR="003847AE" w:rsidRPr="00463480" w:rsidRDefault="003847AE" w:rsidP="003847AE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63480">
              <w:rPr>
                <w:rFonts w:asciiTheme="majorBidi" w:hAnsiTheme="majorBidi" w:cstheme="majorBidi"/>
                <w:b/>
                <w:sz w:val="24"/>
                <w:szCs w:val="24"/>
              </w:rPr>
              <w:t>50.3</w:t>
            </w:r>
          </w:p>
        </w:tc>
      </w:tr>
    </w:tbl>
    <w:p w:rsidR="00463480" w:rsidRPr="00463480" w:rsidRDefault="00463480" w:rsidP="001E026F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63480" w:rsidRDefault="00463480" w:rsidP="001E026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A6CB8" w:rsidRDefault="00BA6CB8" w:rsidP="001E026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6CB8" w:rsidSect="004634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A6CB8" w:rsidRDefault="00BA6CB8" w:rsidP="001E026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3847AE" w:rsidRDefault="003847AE" w:rsidP="001E026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63480" w:rsidRDefault="00BA6CB8" w:rsidP="001E026F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Method</w:t>
      </w:r>
    </w:p>
    <w:p w:rsidR="003847AE" w:rsidRPr="00BA6CB8" w:rsidRDefault="00BA6CB8" w:rsidP="00B7314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method, we will construct a bar graph to represent each data according to year. Then, we will construct a pie chart by calculating the percentage of frequencies for each category in each data set. We also will construct the time series graph that r</w:t>
      </w:r>
      <w:r w:rsidR="00663BA8">
        <w:rPr>
          <w:rFonts w:asciiTheme="majorBidi" w:hAnsiTheme="majorBidi" w:cstheme="majorBidi"/>
          <w:sz w:val="24"/>
          <w:szCs w:val="24"/>
        </w:rPr>
        <w:t>epresents the data which occurs over the years.</w:t>
      </w:r>
      <w:r w:rsidR="003847AE">
        <w:rPr>
          <w:rFonts w:asciiTheme="majorBidi" w:hAnsiTheme="majorBidi" w:cstheme="majorBidi"/>
          <w:sz w:val="24"/>
          <w:szCs w:val="24"/>
        </w:rPr>
        <w:t xml:space="preserve"> </w:t>
      </w:r>
      <w:r w:rsidR="00663BA8">
        <w:rPr>
          <w:rFonts w:asciiTheme="majorBidi" w:hAnsiTheme="majorBidi" w:cstheme="majorBidi"/>
          <w:sz w:val="24"/>
          <w:szCs w:val="24"/>
        </w:rPr>
        <w:t xml:space="preserve">We will also find the measures of central tendency which consists of the </w:t>
      </w:r>
      <w:r w:rsidR="00663BA8" w:rsidRPr="00663BA8">
        <w:rPr>
          <w:rFonts w:asciiTheme="majorBidi" w:hAnsiTheme="majorBidi" w:cstheme="majorBidi"/>
          <w:sz w:val="24"/>
          <w:szCs w:val="24"/>
        </w:rPr>
        <w:t>mean, median, mo</w:t>
      </w:r>
      <w:r w:rsidR="00663BA8">
        <w:rPr>
          <w:rFonts w:asciiTheme="majorBidi" w:hAnsiTheme="majorBidi" w:cstheme="majorBidi"/>
          <w:sz w:val="24"/>
          <w:szCs w:val="24"/>
        </w:rPr>
        <w:t xml:space="preserve">de, midrange, and weighted </w:t>
      </w:r>
      <w:r w:rsidR="00B73141">
        <w:rPr>
          <w:rFonts w:asciiTheme="majorBidi" w:hAnsiTheme="majorBidi" w:cstheme="majorBidi"/>
          <w:sz w:val="24"/>
          <w:szCs w:val="24"/>
        </w:rPr>
        <w:t>mean to find</w:t>
      </w:r>
      <w:r w:rsidR="003847AE">
        <w:rPr>
          <w:rFonts w:asciiTheme="majorBidi" w:hAnsiTheme="majorBidi" w:cstheme="majorBidi"/>
          <w:sz w:val="24"/>
          <w:szCs w:val="24"/>
        </w:rPr>
        <w:t xml:space="preserve"> the average of the data set. </w:t>
      </w:r>
      <w:r w:rsidR="00663BA8">
        <w:rPr>
          <w:rFonts w:asciiTheme="majorBidi" w:hAnsiTheme="majorBidi" w:cstheme="majorBidi"/>
          <w:sz w:val="24"/>
          <w:szCs w:val="24"/>
        </w:rPr>
        <w:t>To determine the spread of data values, we will find the measures of variation which consists of the range, variance and standard deviation of the data s</w:t>
      </w:r>
      <w:r w:rsidR="00B73141">
        <w:rPr>
          <w:rFonts w:asciiTheme="majorBidi" w:hAnsiTheme="majorBidi" w:cstheme="majorBidi"/>
          <w:sz w:val="24"/>
          <w:szCs w:val="24"/>
        </w:rPr>
        <w:t xml:space="preserve">et. Through this method, we </w:t>
      </w:r>
      <w:r w:rsidR="00663BA8">
        <w:rPr>
          <w:rFonts w:asciiTheme="majorBidi" w:hAnsiTheme="majorBidi" w:cstheme="majorBidi"/>
          <w:sz w:val="24"/>
          <w:szCs w:val="24"/>
        </w:rPr>
        <w:t>know how the data values are dispersed.</w:t>
      </w:r>
      <w:r w:rsidR="003847AE">
        <w:rPr>
          <w:rFonts w:asciiTheme="majorBidi" w:hAnsiTheme="majorBidi" w:cstheme="majorBidi"/>
          <w:sz w:val="24"/>
          <w:szCs w:val="24"/>
        </w:rPr>
        <w:t xml:space="preserve"> </w:t>
      </w:r>
      <w:r w:rsidR="00663BA8">
        <w:rPr>
          <w:rFonts w:asciiTheme="majorBidi" w:hAnsiTheme="majorBidi" w:cstheme="majorBidi"/>
          <w:sz w:val="24"/>
          <w:szCs w:val="24"/>
        </w:rPr>
        <w:t xml:space="preserve">Moreover, we will find the measures of position to describe the data such as </w:t>
      </w:r>
      <w:r w:rsidR="00663BA8" w:rsidRPr="00663BA8">
        <w:rPr>
          <w:rFonts w:asciiTheme="majorBidi" w:hAnsiTheme="majorBidi" w:cstheme="majorBidi"/>
          <w:sz w:val="24"/>
          <w:szCs w:val="24"/>
        </w:rPr>
        <w:t>its relative position</w:t>
      </w:r>
      <w:bookmarkStart w:id="0" w:name="_GoBack"/>
      <w:bookmarkEnd w:id="0"/>
      <w:r w:rsidR="003847AE">
        <w:rPr>
          <w:rFonts w:asciiTheme="majorBidi" w:hAnsiTheme="majorBidi" w:cstheme="majorBidi"/>
          <w:sz w:val="24"/>
          <w:szCs w:val="24"/>
        </w:rPr>
        <w:t xml:space="preserve">. This measure consists of percentiles, </w:t>
      </w:r>
      <w:proofErr w:type="spellStart"/>
      <w:r w:rsidR="003847AE">
        <w:rPr>
          <w:rFonts w:asciiTheme="majorBidi" w:hAnsiTheme="majorBidi" w:cstheme="majorBidi"/>
          <w:sz w:val="24"/>
          <w:szCs w:val="24"/>
        </w:rPr>
        <w:t>deciles</w:t>
      </w:r>
      <w:proofErr w:type="spellEnd"/>
      <w:r w:rsidR="003847AE">
        <w:rPr>
          <w:rFonts w:asciiTheme="majorBidi" w:hAnsiTheme="majorBidi" w:cstheme="majorBidi"/>
          <w:sz w:val="24"/>
          <w:szCs w:val="24"/>
        </w:rPr>
        <w:t xml:space="preserve"> and quartiles. Finally, we will do an exploratory data analysis to construct the boxplot of each data set (2011, 2012 and 2013) by using five-number summary.</w:t>
      </w:r>
    </w:p>
    <w:sectPr w:rsidR="003847AE" w:rsidRPr="00BA6CB8" w:rsidSect="00BA6CB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6F"/>
    <w:rsid w:val="001E026F"/>
    <w:rsid w:val="003847AE"/>
    <w:rsid w:val="00463480"/>
    <w:rsid w:val="00663BA8"/>
    <w:rsid w:val="007C2B2E"/>
    <w:rsid w:val="00B73141"/>
    <w:rsid w:val="00BA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2018-03-26T17:29:00Z</dcterms:created>
  <dcterms:modified xsi:type="dcterms:W3CDTF">2018-03-26T18:27:00Z</dcterms:modified>
</cp:coreProperties>
</file>