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1D418DF" wp14:textId="77777777">
      <w:pPr>
        <w:spacing w:before="1440" w:after="120"/>
        <w:jc w:val="center"/>
      </w:pPr>
      <w:r>
        <w:rPr>
          <w:rFonts w:ascii="Arial" w:hAnsi="Arial" w:eastAsia="Arial" w:cs="Arial"/>
          <w:b/>
          <w:bCs/>
          <w:color w:val="1A5276"/>
          <w:sz w:val="56"/>
          <w:szCs w:val="56"/>
        </w:rPr>
        <w:t xml:space="preserve">HR ANALYTICS</w:t>
      </w:r>
    </w:p>
    <w:p xmlns:wp14="http://schemas.microsoft.com/office/word/2010/wordml" w14:paraId="60F7C2E1" wp14:textId="77777777">
      <w:pPr>
        <w:spacing w:before="0" w:after="120"/>
        <w:jc w:val="center"/>
      </w:pPr>
      <w:r>
        <w:rPr>
          <w:rFonts w:ascii="Arial" w:hAnsi="Arial" w:eastAsia="Arial" w:cs="Arial"/>
          <w:b/>
          <w:bCs/>
          <w:color w:val="1A1A2E"/>
          <w:sz w:val="40"/>
          <w:szCs w:val="40"/>
        </w:rPr>
        <w:t xml:space="preserve">CASE STUDY REPORT</w:t>
      </w:r>
    </w:p>
    <w:p xmlns:wp14="http://schemas.microsoft.com/office/word/2010/wordml" w14:paraId="5971D8F6" wp14:textId="77777777">
      <w:pPr>
        <w:pBdr>
          <w:bottom w:val="single" w:color="1A5276" w:sz="12" w:space="4"/>
        </w:pBdr>
        <w:spacing w:before="0" w:after="480"/>
        <w:jc w:val="center"/>
      </w:pPr>
      <w:r>
        <w:rPr>
          <w:rFonts w:ascii="Arial" w:hAnsi="Arial" w:eastAsia="Arial" w:cs="Arial"/>
          <w:i/>
          <w:iCs/>
          <w:color w:val="555555"/>
          <w:sz w:val="26"/>
          <w:szCs w:val="26"/>
        </w:rPr>
        <w:t xml:space="preserve">Understanding &amp; Reducing Employee Attrition</w:t>
      </w:r>
    </w:p>
    <w:p xmlns:wp14="http://schemas.microsoft.com/office/word/2010/wordml" w14:paraId="672A6659" wp14:textId="77777777">
      <w:pPr>
        <w:spacing w:before="80" w:after="80"/>
      </w:pPr>
      <w:r/>
    </w:p>
    <w:p xmlns:wp14="http://schemas.microsoft.com/office/word/2010/wordml" w14:paraId="497DE9F5" wp14:textId="07A21307">
      <w:pPr>
        <w:spacing w:before="200" w:after="80"/>
        <w:jc w:val="center"/>
      </w:pPr>
      <w:r w:rsidRPr="763AA2EB" w:rsidR="763AA2EB">
        <w:rPr>
          <w:rFonts w:ascii="Arial" w:hAnsi="Arial" w:eastAsia="Arial" w:cs="Arial"/>
          <w:color w:val="555555"/>
          <w:sz w:val="22"/>
          <w:szCs w:val="22"/>
        </w:rPr>
        <w:t>Prepared by: Mohammad Zaid Asim</w:t>
      </w:r>
    </w:p>
    <w:p xmlns:wp14="http://schemas.microsoft.com/office/word/2010/wordml" w14:paraId="57CFD132" wp14:textId="77777777">
      <w:pPr>
        <w:spacing w:before="0" w:after="80"/>
        <w:jc w:val="center"/>
      </w:pPr>
      <w:r>
        <w:rPr>
          <w:rFonts w:ascii="Arial" w:hAnsi="Arial" w:eastAsia="Arial" w:cs="Arial"/>
          <w:color w:val="555555"/>
          <w:sz w:val="22"/>
          <w:szCs w:val="22"/>
        </w:rPr>
        <w:t xml:space="preserve">Tool Used: Power BI</w:t>
      </w:r>
    </w:p>
    <w:p xmlns:wp14="http://schemas.microsoft.com/office/word/2010/wordml" w14:paraId="32A41D59" wp14:textId="77777777">
      <w:pPr>
        <w:spacing w:before="0" w:after="80"/>
        <w:jc w:val="center"/>
      </w:pPr>
      <w:r w:rsidRPr="763AA2EB" w:rsidR="763AA2EB">
        <w:rPr>
          <w:rFonts w:ascii="Arial" w:hAnsi="Arial" w:eastAsia="Arial" w:cs="Arial"/>
          <w:color w:val="555555"/>
          <w:sz w:val="22"/>
          <w:szCs w:val="22"/>
        </w:rPr>
        <w:t>Dataset: HR Analytics (1,470 Employees)</w:t>
      </w:r>
    </w:p>
    <w:p xmlns:wp14="http://schemas.microsoft.com/office/word/2010/wordml" w14:paraId="0A37501D" wp14:textId="77777777">
      <w:r>
        <w:br w:type="page"/>
      </w:r>
    </w:p>
    <w:p xmlns:wp14="http://schemas.microsoft.com/office/word/2010/wordml" w14:paraId="0D4A22F4" wp14:textId="77777777">
      <w:pPr>
        <w:pStyle w:val="Heading1"/>
        <w:pBdr>
          <w:bottom w:val="single" w:color="1A5276" w:sz="8" w:space="4"/>
        </w:pBdr>
        <w:spacing w:before="320" w:after="160"/>
      </w:pPr>
      <w:r>
        <w:rPr>
          <w:rFonts w:ascii="Arial" w:hAnsi="Arial" w:eastAsia="Arial" w:cs="Arial"/>
          <w:b/>
          <w:bCs/>
          <w:color w:val="1A1A2E"/>
          <w:sz w:val="32"/>
          <w:szCs w:val="32"/>
        </w:rPr>
        <w:t xml:space="preserve">1. Business Problem</w:t>
      </w:r>
    </w:p>
    <w:p xmlns:wp14="http://schemas.microsoft.com/office/word/2010/wordml" w14:paraId="63306430" wp14:textId="77777777">
      <w:pPr>
        <w:spacing w:before="80" w:after="80"/>
      </w:pPr>
      <w:r>
        <w:rPr>
          <w:rFonts w:ascii="Arial" w:hAnsi="Arial" w:eastAsia="Arial" w:cs="Arial"/>
          <w:sz w:val="22"/>
          <w:szCs w:val="22"/>
        </w:rPr>
        <w:t xml:space="preserve">A mid-sized organization with 1,470 employees is experiencing a concerning attrition rate of 16.1%, meaning 1 in every 6 employees is leaving the organization. With an average salary of just $6.5K and an average employee tenure of 7 years, HR leadership faces a critical challenge:</w:t>
      </w:r>
    </w:p>
    <w:p xmlns:wp14="http://schemas.microsoft.com/office/word/2010/wordml" w14:paraId="5DAB6C7B" wp14:textId="77777777">
      <w:pPr>
        <w:spacing w:before="80" w:after="80"/>
      </w:pPr>
      <w:r/>
    </w:p>
    <w:p xmlns:wp14="http://schemas.microsoft.com/office/word/2010/wordml" w14:paraId="1695306D" wp14:textId="77777777">
      <w:pPr>
        <w:shd w:val="clear" w:fill="EAF2FF"/>
        <w:spacing w:before="120" w:after="120"/>
        <w:ind w:left="360" w:right="360"/>
      </w:pPr>
      <w:r>
        <w:rPr>
          <w:rFonts w:ascii="Arial" w:hAnsi="Arial" w:eastAsia="Arial" w:cs="Arial"/>
          <w:i/>
          <w:iCs/>
          <w:color w:val="1A1A2E"/>
          <w:sz w:val="22"/>
          <w:szCs w:val="22"/>
        </w:rPr>
        <w:t xml:space="preserve">"The organization does not know WHO is leaving, WHY they are leaving, or WHERE to intervene first to reduce attrition cost and workforce instability."</w:t>
      </w:r>
    </w:p>
    <w:p xmlns:wp14="http://schemas.microsoft.com/office/word/2010/wordml" w14:paraId="02EB378F" wp14:textId="77777777">
      <w:pPr>
        <w:spacing w:before="80" w:after="80"/>
      </w:pPr>
      <w:r/>
    </w:p>
    <w:p xmlns:wp14="http://schemas.microsoft.com/office/word/2010/wordml" w14:paraId="639FFF35" wp14:textId="77777777">
      <w:pPr>
        <w:spacing w:before="80" w:after="80"/>
      </w:pPr>
      <w:r w:rsidRPr="763AA2EB" w:rsidR="763AA2EB">
        <w:rPr>
          <w:rFonts w:ascii="Arial" w:hAnsi="Arial" w:eastAsia="Arial" w:cs="Arial"/>
          <w:sz w:val="22"/>
          <w:szCs w:val="22"/>
          <w:lang w:val="en-US"/>
        </w:rPr>
        <w:t>This case study analyses the HR dashboard to identify the root causes of attrition and provide actionable, data-driven recommendations.</w:t>
      </w:r>
    </w:p>
    <w:p xmlns:wp14="http://schemas.microsoft.com/office/word/2010/wordml" w14:paraId="6A05A809" wp14:textId="77777777">
      <w:pPr>
        <w:spacing w:before="80" w:after="80"/>
      </w:pPr>
      <w:r/>
    </w:p>
    <w:p xmlns:wp14="http://schemas.microsoft.com/office/word/2010/wordml" w14:paraId="5F1C37D1" wp14:textId="77777777">
      <w:pPr>
        <w:pStyle w:val="Heading1"/>
        <w:pBdr>
          <w:bottom w:val="single" w:color="1A5276" w:sz="8" w:space="4"/>
        </w:pBdr>
        <w:spacing w:before="320" w:after="160"/>
      </w:pPr>
      <w:r>
        <w:rPr>
          <w:rFonts w:ascii="Arial" w:hAnsi="Arial" w:eastAsia="Arial" w:cs="Arial"/>
          <w:b/>
          <w:bCs/>
          <w:color w:val="1A1A2E"/>
          <w:sz w:val="32"/>
          <w:szCs w:val="32"/>
        </w:rPr>
        <w:t xml:space="preserve">2. Dataset Overview</w:t>
      </w:r>
    </w:p>
    <w:p xmlns:wp14="http://schemas.microsoft.com/office/word/2010/wordml" w14:paraId="576B0C27" wp14:textId="77777777">
      <w:pPr>
        <w:spacing w:before="80" w:after="80"/>
      </w:pPr>
      <w:r>
        <w:rPr>
          <w:rFonts w:ascii="Arial" w:hAnsi="Arial" w:eastAsia="Arial" w:cs="Arial"/>
          <w:sz w:val="22"/>
          <w:szCs w:val="22"/>
        </w:rPr>
        <w:t xml:space="preserve">The dashboard is built on an HR dataset covering 1,470 employees across multiple departments including Human Resources, Research &amp; Development, and Sales. Key metrics captured include:</w:t>
      </w:r>
    </w:p>
    <w:p xmlns:wp14="http://schemas.microsoft.com/office/word/2010/wordml" w14:paraId="5A39BBE3" wp14:textId="77777777">
      <w:pPr>
        <w:spacing w:before="80" w:after="80"/>
      </w:pPr>
      <w:r/>
    </w:p>
    <w:p xmlns:wp14="http://schemas.microsoft.com/office/word/2010/wordml" w14:paraId="39A57DD5" wp14:textId="77777777">
      <w:pPr>
        <w:pStyle w:val="ListParagraph"/>
        <w:numPr>
          <w:ilvl w:val="0"/>
          <w:numId w:val="2"/>
        </w:numPr>
        <w:spacing w:before="60" w:after="60"/>
      </w:pPr>
      <w:r>
        <w:rPr>
          <w:rFonts w:ascii="Arial" w:hAnsi="Arial" w:eastAsia="Arial" w:cs="Arial"/>
          <w:b w:val="false"/>
          <w:bCs w:val="false"/>
          <w:sz w:val="22"/>
          <w:szCs w:val="22"/>
        </w:rPr>
        <w:t xml:space="preserve">Employee demographics: Age, Gender, Education background</w:t>
      </w:r>
    </w:p>
    <w:p xmlns:wp14="http://schemas.microsoft.com/office/word/2010/wordml" w14:paraId="2DAB7E35" wp14:textId="77777777">
      <w:pPr>
        <w:pStyle w:val="ListParagraph"/>
        <w:numPr>
          <w:ilvl w:val="0"/>
          <w:numId w:val="2"/>
        </w:numPr>
        <w:spacing w:before="60" w:after="60"/>
      </w:pPr>
      <w:r>
        <w:rPr>
          <w:rFonts w:ascii="Arial" w:hAnsi="Arial" w:eastAsia="Arial" w:cs="Arial"/>
          <w:b w:val="false"/>
          <w:bCs w:val="false"/>
          <w:sz w:val="22"/>
          <w:szCs w:val="22"/>
        </w:rPr>
        <w:t xml:space="preserve">Compensation: Salary slab classification</w:t>
      </w:r>
    </w:p>
    <w:p xmlns:wp14="http://schemas.microsoft.com/office/word/2010/wordml" w14:paraId="1F0A40CF" wp14:textId="77777777">
      <w:pPr>
        <w:pStyle w:val="ListParagraph"/>
        <w:numPr>
          <w:ilvl w:val="0"/>
          <w:numId w:val="2"/>
        </w:numPr>
        <w:spacing w:before="60" w:after="60"/>
      </w:pPr>
      <w:r>
        <w:rPr>
          <w:rFonts w:ascii="Arial" w:hAnsi="Arial" w:eastAsia="Arial" w:cs="Arial"/>
          <w:b w:val="false"/>
          <w:bCs w:val="false"/>
          <w:sz w:val="22"/>
          <w:szCs w:val="22"/>
        </w:rPr>
        <w:t xml:space="preserve">Tenure: Years at the company</w:t>
      </w:r>
    </w:p>
    <w:p xmlns:wp14="http://schemas.microsoft.com/office/word/2010/wordml" w14:paraId="188D38F9" wp14:textId="77777777">
      <w:pPr>
        <w:pStyle w:val="ListParagraph"/>
        <w:numPr>
          <w:ilvl w:val="0"/>
          <w:numId w:val="2"/>
        </w:numPr>
        <w:spacing w:before="60" w:after="60"/>
      </w:pPr>
      <w:r>
        <w:rPr>
          <w:rFonts w:ascii="Arial" w:hAnsi="Arial" w:eastAsia="Arial" w:cs="Arial"/>
          <w:b w:val="false"/>
          <w:bCs w:val="false"/>
          <w:sz w:val="22"/>
          <w:szCs w:val="22"/>
        </w:rPr>
        <w:t xml:space="preserve">Job roles across 9 distinct categories</w:t>
      </w:r>
    </w:p>
    <w:p xmlns:wp14="http://schemas.microsoft.com/office/word/2010/wordml" w14:paraId="6775DF4B" wp14:textId="77777777">
      <w:pPr>
        <w:pStyle w:val="ListParagraph"/>
        <w:numPr>
          <w:ilvl w:val="0"/>
          <w:numId w:val="2"/>
        </w:numPr>
        <w:spacing w:before="60" w:after="60"/>
      </w:pPr>
      <w:r>
        <w:rPr>
          <w:rFonts w:ascii="Arial" w:hAnsi="Arial" w:eastAsia="Arial" w:cs="Arial"/>
          <w:b w:val="false"/>
          <w:bCs w:val="false"/>
          <w:sz w:val="22"/>
          <w:szCs w:val="22"/>
        </w:rPr>
        <w:t xml:space="preserve">Attrition status: Whether the employee left or stayed</w:t>
      </w:r>
    </w:p>
    <w:p xmlns:wp14="http://schemas.microsoft.com/office/word/2010/wordml" w14:paraId="41C8F396" wp14:textId="77777777">
      <w:pPr>
        <w:spacing w:before="80" w:after="80"/>
      </w:pPr>
      <w:r/>
    </w:p>
    <w:p xmlns:wp14="http://schemas.microsoft.com/office/word/2010/wordml" w14:paraId="5083E624" wp14:textId="77777777">
      <w:pPr>
        <w:pStyle w:val="Heading2"/>
        <w:spacing w:before="240" w:after="120"/>
      </w:pPr>
      <w:r>
        <w:rPr>
          <w:rFonts w:ascii="Arial" w:hAnsi="Arial" w:eastAsia="Arial" w:cs="Arial"/>
          <w:b/>
          <w:bCs/>
          <w:color w:val="1A5276"/>
          <w:sz w:val="26"/>
          <w:szCs w:val="26"/>
        </w:rPr>
        <w:t xml:space="preserve">2.1 Key Performance Indicators</w:t>
      </w:r>
    </w:p>
    <w:p xmlns:wp14="http://schemas.microsoft.com/office/word/2010/wordml" w14:paraId="72A3D3EC"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xmlns:wp14="http://schemas.microsoft.com/office/word/2010/wordml" w:rsidTr="763AA2EB" w14:paraId="79689C62" wp14:textId="77777777">
        <w:tc>
          <w:tcPr>
            <w:tcW w:w="1560" w:type="dxa"/>
            <w:tcBorders>
              <w:top w:val="single" w:color="CCCCCC" w:sz="1"/>
              <w:left w:val="single" w:color="CCCCCC" w:sz="1"/>
              <w:bottom w:val="single" w:color="CCCCCC" w:sz="1"/>
              <w:right w:val="single" w:color="CCCCCC" w:sz="1"/>
            </w:tcBorders>
            <w:shd w:val="clear" w:color="auto" w:fill="1A5276"/>
            <w:tcMar>
              <w:top w:w="120" w:type="dxa"/>
              <w:left w:w="120" w:type="dxa"/>
              <w:bottom w:w="120" w:type="dxa"/>
              <w:right w:w="120" w:type="dxa"/>
            </w:tcMar>
            <w:vAlign w:val="center"/>
          </w:tcPr>
          <w:p w14:paraId="0E2B0631" wp14:textId="77777777">
            <w:pPr>
              <w:jc w:val="center"/>
            </w:pPr>
            <w:r>
              <w:rPr>
                <w:rFonts w:ascii="Arial" w:hAnsi="Arial" w:eastAsia="Arial" w:cs="Arial"/>
                <w:b w:val="false"/>
                <w:bCs w:val="false"/>
                <w:color w:val="FFFFFF"/>
                <w:sz w:val="18"/>
                <w:szCs w:val="18"/>
              </w:rPr>
              <w:t xml:space="preserve">Total Employees</w:t>
            </w:r>
          </w:p>
          <w:p w14:paraId="449AD010" wp14:textId="77777777">
            <w:pPr>
              <w:jc w:val="center"/>
            </w:pPr>
            <w:r>
              <w:rPr>
                <w:rFonts w:ascii="Arial" w:hAnsi="Arial" w:eastAsia="Arial" w:cs="Arial"/>
                <w:b/>
                <w:bCs/>
                <w:color w:val="FFFFFF"/>
                <w:sz w:val="26"/>
                <w:szCs w:val="26"/>
              </w:rPr>
              <w:t xml:space="preserve">1,470</w:t>
            </w:r>
          </w:p>
        </w:tc>
        <w:tc>
          <w:tcPr>
            <w:tcW w:w="1560" w:type="dxa"/>
            <w:tcBorders>
              <w:top w:val="single" w:color="CCCCCC" w:sz="1"/>
              <w:left w:val="single" w:color="CCCCCC" w:sz="1"/>
              <w:bottom w:val="single" w:color="CCCCCC" w:sz="1"/>
              <w:right w:val="single" w:color="CCCCCC" w:sz="1"/>
            </w:tcBorders>
            <w:shd w:val="clear" w:color="auto" w:fill="1A5276"/>
            <w:tcMar>
              <w:top w:w="120" w:type="dxa"/>
              <w:left w:w="120" w:type="dxa"/>
              <w:bottom w:w="120" w:type="dxa"/>
              <w:right w:w="120" w:type="dxa"/>
            </w:tcMar>
            <w:vAlign w:val="center"/>
          </w:tcPr>
          <w:p w14:paraId="67855C23" wp14:textId="77777777">
            <w:pPr>
              <w:jc w:val="center"/>
            </w:pPr>
            <w:r>
              <w:rPr>
                <w:rFonts w:ascii="Arial" w:hAnsi="Arial" w:eastAsia="Arial" w:cs="Arial"/>
                <w:b w:val="false"/>
                <w:bCs w:val="false"/>
                <w:color w:val="FFFFFF"/>
                <w:sz w:val="18"/>
                <w:szCs w:val="18"/>
              </w:rPr>
              <w:t xml:space="preserve">Total Attrition</w:t>
            </w:r>
          </w:p>
          <w:p w14:paraId="387EFE82" wp14:textId="77777777">
            <w:pPr>
              <w:jc w:val="center"/>
            </w:pPr>
            <w:r>
              <w:rPr>
                <w:rFonts w:ascii="Arial" w:hAnsi="Arial" w:eastAsia="Arial" w:cs="Arial"/>
                <w:b/>
                <w:bCs/>
                <w:color w:val="FFFFFF"/>
                <w:sz w:val="26"/>
                <w:szCs w:val="26"/>
              </w:rPr>
              <w:t xml:space="preserve">237</w:t>
            </w:r>
          </w:p>
        </w:tc>
        <w:tc>
          <w:tcPr>
            <w:tcW w:w="1560" w:type="dxa"/>
            <w:tcBorders>
              <w:top w:val="single" w:color="CCCCCC" w:sz="1"/>
              <w:left w:val="single" w:color="CCCCCC" w:sz="1"/>
              <w:bottom w:val="single" w:color="CCCCCC" w:sz="1"/>
              <w:right w:val="single" w:color="CCCCCC" w:sz="1"/>
            </w:tcBorders>
            <w:shd w:val="clear" w:color="auto" w:fill="1A5276"/>
            <w:tcMar>
              <w:top w:w="120" w:type="dxa"/>
              <w:left w:w="120" w:type="dxa"/>
              <w:bottom w:w="120" w:type="dxa"/>
              <w:right w:w="120" w:type="dxa"/>
            </w:tcMar>
            <w:vAlign w:val="center"/>
          </w:tcPr>
          <w:p w14:paraId="009CDDBF" wp14:textId="77777777">
            <w:pPr>
              <w:jc w:val="center"/>
            </w:pPr>
            <w:r>
              <w:rPr>
                <w:rFonts w:ascii="Arial" w:hAnsi="Arial" w:eastAsia="Arial" w:cs="Arial"/>
                <w:b w:val="false"/>
                <w:bCs w:val="false"/>
                <w:color w:val="FFFFFF"/>
                <w:sz w:val="18"/>
                <w:szCs w:val="18"/>
              </w:rPr>
              <w:t xml:space="preserve">Attrition Rate</w:t>
            </w:r>
          </w:p>
          <w:p w14:paraId="1546BC55" wp14:textId="77777777">
            <w:pPr>
              <w:jc w:val="center"/>
            </w:pPr>
            <w:r>
              <w:rPr>
                <w:rFonts w:ascii="Arial" w:hAnsi="Arial" w:eastAsia="Arial" w:cs="Arial"/>
                <w:b/>
                <w:bCs/>
                <w:color w:val="FFFFFF"/>
                <w:sz w:val="26"/>
                <w:szCs w:val="26"/>
              </w:rPr>
              <w:t xml:space="preserve">16.1%</w:t>
            </w:r>
          </w:p>
        </w:tc>
        <w:tc>
          <w:tcPr>
            <w:tcW w:w="1560" w:type="dxa"/>
            <w:tcBorders>
              <w:top w:val="single" w:color="CCCCCC" w:sz="1"/>
              <w:left w:val="single" w:color="CCCCCC" w:sz="1"/>
              <w:bottom w:val="single" w:color="CCCCCC" w:sz="1"/>
              <w:right w:val="single" w:color="CCCCCC" w:sz="1"/>
            </w:tcBorders>
            <w:shd w:val="clear" w:color="auto" w:fill="1A5276"/>
            <w:tcMar>
              <w:top w:w="120" w:type="dxa"/>
              <w:left w:w="120" w:type="dxa"/>
              <w:bottom w:w="120" w:type="dxa"/>
              <w:right w:w="120" w:type="dxa"/>
            </w:tcMar>
            <w:vAlign w:val="center"/>
          </w:tcPr>
          <w:p w14:paraId="429FB12D" wp14:textId="77777777">
            <w:pPr>
              <w:jc w:val="center"/>
            </w:pPr>
            <w:r>
              <w:rPr>
                <w:rFonts w:ascii="Arial" w:hAnsi="Arial" w:eastAsia="Arial" w:cs="Arial"/>
                <w:b w:val="false"/>
                <w:bCs w:val="false"/>
                <w:color w:val="FFFFFF"/>
                <w:sz w:val="18"/>
                <w:szCs w:val="18"/>
              </w:rPr>
              <w:t xml:space="preserve">Average Age</w:t>
            </w:r>
          </w:p>
          <w:p w14:paraId="479F752E" wp14:textId="77777777">
            <w:pPr>
              <w:jc w:val="center"/>
            </w:pPr>
            <w:r>
              <w:rPr>
                <w:rFonts w:ascii="Arial" w:hAnsi="Arial" w:eastAsia="Arial" w:cs="Arial"/>
                <w:b/>
                <w:bCs/>
                <w:color w:val="FFFFFF"/>
                <w:sz w:val="26"/>
                <w:szCs w:val="26"/>
              </w:rPr>
              <w:t xml:space="preserve">37 Years</w:t>
            </w:r>
          </w:p>
        </w:tc>
        <w:tc>
          <w:tcPr>
            <w:tcW w:w="1560" w:type="dxa"/>
            <w:tcBorders>
              <w:top w:val="single" w:color="CCCCCC" w:sz="1"/>
              <w:left w:val="single" w:color="CCCCCC" w:sz="1"/>
              <w:bottom w:val="single" w:color="CCCCCC" w:sz="1"/>
              <w:right w:val="single" w:color="CCCCCC" w:sz="1"/>
            </w:tcBorders>
            <w:shd w:val="clear" w:color="auto" w:fill="1A5276"/>
            <w:tcMar>
              <w:top w:w="120" w:type="dxa"/>
              <w:left w:w="120" w:type="dxa"/>
              <w:bottom w:w="120" w:type="dxa"/>
              <w:right w:w="120" w:type="dxa"/>
            </w:tcMar>
            <w:vAlign w:val="center"/>
          </w:tcPr>
          <w:p w14:paraId="407F0262" wp14:textId="77777777">
            <w:pPr>
              <w:jc w:val="center"/>
            </w:pPr>
            <w:r>
              <w:rPr>
                <w:rFonts w:ascii="Arial" w:hAnsi="Arial" w:eastAsia="Arial" w:cs="Arial"/>
                <w:b w:val="false"/>
                <w:bCs w:val="false"/>
                <w:color w:val="FFFFFF"/>
                <w:sz w:val="18"/>
                <w:szCs w:val="18"/>
              </w:rPr>
              <w:t xml:space="preserve">Average Salary</w:t>
            </w:r>
          </w:p>
          <w:p w14:paraId="0FF533CA" wp14:textId="3235487D">
            <w:pPr>
              <w:jc w:val="center"/>
            </w:pPr>
            <w:r w:rsidRPr="763AA2EB" w:rsidR="1F5E648B">
              <w:rPr>
                <w:rFonts w:ascii="Arial" w:hAnsi="Arial" w:eastAsia="Arial" w:cs="Arial"/>
                <w:b w:val="1"/>
                <w:bCs w:val="1"/>
                <w:color w:val="FFFFFF"/>
                <w:sz w:val="26"/>
                <w:szCs w:val="26"/>
              </w:rPr>
              <w:t>$6.5K</w:t>
            </w:r>
          </w:p>
        </w:tc>
        <w:tc>
          <w:tcPr>
            <w:tcW w:w="1560" w:type="dxa"/>
            <w:tcBorders>
              <w:top w:val="single" w:color="CCCCCC" w:sz="1"/>
              <w:left w:val="single" w:color="CCCCCC" w:sz="1"/>
              <w:bottom w:val="single" w:color="CCCCCC" w:sz="1"/>
              <w:right w:val="single" w:color="CCCCCC" w:sz="1"/>
            </w:tcBorders>
            <w:shd w:val="clear" w:color="auto" w:fill="1A5276"/>
            <w:tcMar>
              <w:top w:w="120" w:type="dxa"/>
              <w:left w:w="120" w:type="dxa"/>
              <w:bottom w:w="120" w:type="dxa"/>
              <w:right w:w="120" w:type="dxa"/>
            </w:tcMar>
            <w:vAlign w:val="center"/>
          </w:tcPr>
          <w:p w14:paraId="708A54C1" wp14:textId="77777777">
            <w:pPr>
              <w:jc w:val="center"/>
            </w:pPr>
            <w:r>
              <w:rPr>
                <w:rFonts w:ascii="Arial" w:hAnsi="Arial" w:eastAsia="Arial" w:cs="Arial"/>
                <w:b w:val="false"/>
                <w:bCs w:val="false"/>
                <w:color w:val="FFFFFF"/>
                <w:sz w:val="18"/>
                <w:szCs w:val="18"/>
              </w:rPr>
              <w:t xml:space="preserve">Avg. Tenure</w:t>
            </w:r>
          </w:p>
          <w:p w14:paraId="4B67992A" wp14:textId="77777777">
            <w:pPr>
              <w:jc w:val="center"/>
            </w:pPr>
            <w:r>
              <w:rPr>
                <w:rFonts w:ascii="Arial" w:hAnsi="Arial" w:eastAsia="Arial" w:cs="Arial"/>
                <w:b/>
                <w:bCs/>
                <w:color w:val="FFFFFF"/>
                <w:sz w:val="26"/>
                <w:szCs w:val="26"/>
              </w:rPr>
              <w:t xml:space="preserve">7 Years</w:t>
            </w:r>
          </w:p>
        </w:tc>
      </w:tr>
    </w:tbl>
    <w:p xmlns:wp14="http://schemas.microsoft.com/office/word/2010/wordml" w14:paraId="0D0B940D" wp14:textId="77777777">
      <w:pPr>
        <w:spacing w:before="80" w:after="80"/>
      </w:pPr>
      <w:r/>
    </w:p>
    <w:p xmlns:wp14="http://schemas.microsoft.com/office/word/2010/wordml" w14:paraId="0E27B00A" wp14:textId="77777777">
      <w:r>
        <w:br w:type="page"/>
      </w:r>
    </w:p>
    <w:p xmlns:wp14="http://schemas.microsoft.com/office/word/2010/wordml" w14:paraId="6279AFF8" wp14:textId="77777777">
      <w:pPr>
        <w:pStyle w:val="Heading1"/>
        <w:pBdr>
          <w:bottom w:val="single" w:color="1A5276" w:sz="8" w:space="4"/>
        </w:pBdr>
        <w:spacing w:before="320" w:after="160"/>
      </w:pPr>
      <w:r>
        <w:rPr>
          <w:rFonts w:ascii="Arial" w:hAnsi="Arial" w:eastAsia="Arial" w:cs="Arial"/>
          <w:b/>
          <w:bCs/>
          <w:color w:val="1A1A2E"/>
          <w:sz w:val="32"/>
          <w:szCs w:val="32"/>
        </w:rPr>
        <w:t xml:space="preserve">3. Analysis &amp; Key Findings</w:t>
      </w:r>
    </w:p>
    <w:p xmlns:wp14="http://schemas.microsoft.com/office/word/2010/wordml" w14:paraId="0CE020C3" wp14:textId="77777777">
      <w:pPr>
        <w:spacing w:before="80" w:after="80"/>
      </w:pPr>
      <w:r w:rsidRPr="763AA2EB" w:rsidR="763AA2EB">
        <w:rPr>
          <w:rFonts w:ascii="Arial" w:hAnsi="Arial" w:eastAsia="Arial" w:cs="Arial"/>
          <w:sz w:val="22"/>
          <w:szCs w:val="22"/>
          <w:lang w:val="en-US"/>
        </w:rPr>
        <w:t>The following multi-variable analysis was conducted across five key dimensions: salary, age, job role, tenure, and gender. Each finding builds on the previous to reveal a clear at-risk employee profile.</w:t>
      </w:r>
    </w:p>
    <w:p xmlns:wp14="http://schemas.microsoft.com/office/word/2010/wordml" w14:paraId="60061E4C"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xmlns:wp14="http://schemas.microsoft.com/office/word/2010/wordml" w:rsidTr="763AA2EB" w14:paraId="25E5AB43" wp14:textId="77777777">
        <w:tc>
          <w:tcPr>
            <w:tcBorders>
              <w:top w:val="single" w:color="CCCCCC" w:sz="1"/>
              <w:left w:val="single" w:color="CCCCCC" w:sz="1"/>
              <w:bottom w:val="single" w:color="CCCCCC" w:sz="1"/>
              <w:right w:val="single" w:color="CCCCCC" w:sz="1"/>
            </w:tcBorders>
            <w:shd w:val="clear" w:color="auto" w:fill="1A1A2E"/>
            <w:tcMar>
              <w:top w:w="80" w:type="dxa"/>
              <w:left w:w="120" w:type="dxa"/>
              <w:bottom w:w="80" w:type="dxa"/>
              <w:right w:w="120" w:type="dxa"/>
            </w:tcMar>
          </w:tcPr>
          <w:p w14:paraId="04230D3D" wp14:textId="77777777">
            <w:r>
              <w:rPr>
                <w:rFonts w:ascii="Arial" w:hAnsi="Arial" w:eastAsia="Arial" w:cs="Arial"/>
                <w:b/>
                <w:bCs/>
                <w:color w:val="FFFFFF"/>
                <w:sz w:val="20"/>
                <w:szCs w:val="20"/>
              </w:rPr>
              <w:t xml:space="preserve">Factor</w:t>
            </w:r>
          </w:p>
        </w:tc>
        <w:tc>
          <w:tcPr>
            <w:tcBorders>
              <w:top w:val="single" w:color="CCCCCC" w:sz="1"/>
              <w:left w:val="single" w:color="CCCCCC" w:sz="1"/>
              <w:bottom w:val="single" w:color="CCCCCC" w:sz="1"/>
              <w:right w:val="single" w:color="CCCCCC" w:sz="1"/>
            </w:tcBorders>
            <w:shd w:val="clear" w:color="auto" w:fill="1A1A2E"/>
            <w:tcMar>
              <w:top w:w="80" w:type="dxa"/>
              <w:left w:w="120" w:type="dxa"/>
              <w:bottom w:w="80" w:type="dxa"/>
              <w:right w:w="120" w:type="dxa"/>
            </w:tcMar>
          </w:tcPr>
          <w:p w14:paraId="53E16654" wp14:textId="77777777">
            <w:r>
              <w:rPr>
                <w:rFonts w:ascii="Arial" w:hAnsi="Arial" w:eastAsia="Arial" w:cs="Arial"/>
                <w:b/>
                <w:bCs/>
                <w:color w:val="FFFFFF"/>
                <w:sz w:val="20"/>
                <w:szCs w:val="20"/>
              </w:rPr>
              <w:t xml:space="preserve">Key Finding</w:t>
            </w:r>
          </w:p>
        </w:tc>
        <w:tc>
          <w:tcPr>
            <w:tcBorders>
              <w:top w:val="single" w:color="CCCCCC" w:sz="1"/>
              <w:left w:val="single" w:color="CCCCCC" w:sz="1"/>
              <w:bottom w:val="single" w:color="CCCCCC" w:sz="1"/>
              <w:right w:val="single" w:color="CCCCCC" w:sz="1"/>
            </w:tcBorders>
            <w:shd w:val="clear" w:color="auto" w:fill="1A1A2E"/>
            <w:tcMar>
              <w:top w:w="80" w:type="dxa"/>
              <w:left w:w="120" w:type="dxa"/>
              <w:bottom w:w="80" w:type="dxa"/>
              <w:right w:w="120" w:type="dxa"/>
            </w:tcMar>
          </w:tcPr>
          <w:p w14:paraId="1E75B446" wp14:textId="77777777">
            <w:r>
              <w:rPr>
                <w:rFonts w:ascii="Arial" w:hAnsi="Arial" w:eastAsia="Arial" w:cs="Arial"/>
                <w:b/>
                <w:bCs/>
                <w:color w:val="FFFFFF"/>
                <w:sz w:val="20"/>
                <w:szCs w:val="20"/>
              </w:rPr>
              <w:t xml:space="preserve">Severity</w:t>
            </w:r>
          </w:p>
        </w:tc>
      </w:tr>
      <w:tr xmlns:wp14="http://schemas.microsoft.com/office/word/2010/wordml" w:rsidTr="763AA2EB" w14:paraId="76DA1AA2" wp14:textId="77777777">
        <w:tc>
          <w:tcPr>
            <w:tcW w:w="1800" w:type="dxa"/>
            <w:tcBorders>
              <w:top w:val="single" w:color="CCCCCC" w:sz="1"/>
              <w:left w:val="single" w:color="CCCCCC" w:sz="1"/>
              <w:bottom w:val="single" w:color="CCCCCC" w:sz="1"/>
              <w:right w:val="single" w:color="CCCCCC" w:sz="1"/>
            </w:tcBorders>
            <w:shd w:val="clear" w:color="auto" w:fill="EAF2FF"/>
            <w:tcMar>
              <w:top w:w="80" w:type="dxa"/>
              <w:left w:w="120" w:type="dxa"/>
              <w:bottom w:w="80" w:type="dxa"/>
              <w:right w:w="120" w:type="dxa"/>
            </w:tcMar>
          </w:tcPr>
          <w:p w14:paraId="05CFE141" wp14:textId="77777777">
            <w:r>
              <w:rPr>
                <w:rFonts w:ascii="Arial" w:hAnsi="Arial" w:eastAsia="Arial" w:cs="Arial"/>
                <w:b/>
                <w:bCs/>
                <w:color w:val="1A1A2E"/>
                <w:sz w:val="20"/>
                <w:szCs w:val="20"/>
              </w:rPr>
              <w:t xml:space="preserve">Compensation</w:t>
            </w:r>
          </w:p>
        </w:tc>
        <w:tc>
          <w:tcPr>
            <w:tcW w:w="5760" w:type="dxa"/>
            <w:tcBorders>
              <w:top w:val="single" w:color="CCCCCC" w:sz="1"/>
              <w:left w:val="single" w:color="CCCCCC" w:sz="1"/>
              <w:bottom w:val="single" w:color="CCCCCC" w:sz="1"/>
              <w:right w:val="single" w:color="CCCCCC" w:sz="1"/>
            </w:tcBorders>
            <w:shd w:val="clear" w:color="auto" w:fill="EAF2FF"/>
            <w:tcMar>
              <w:top w:w="80" w:type="dxa"/>
              <w:left w:w="120" w:type="dxa"/>
              <w:bottom w:w="80" w:type="dxa"/>
              <w:right w:w="120" w:type="dxa"/>
            </w:tcMar>
          </w:tcPr>
          <w:p w14:paraId="325859FD" wp14:textId="77777777">
            <w:r>
              <w:rPr>
                <w:rFonts w:ascii="Arial" w:hAnsi="Arial" w:eastAsia="Arial" w:cs="Arial"/>
                <w:sz w:val="20"/>
                <w:szCs w:val="20"/>
              </w:rPr>
              <w:t xml:space="preserve">69% of attrition (163/237) from the lowest salary band (&lt;$5K)</w:t>
            </w:r>
          </w:p>
        </w:tc>
        <w:tc>
          <w:tcPr>
            <w:tcW w:w="1800" w:type="dxa"/>
            <w:tcBorders>
              <w:top w:val="single" w:color="CCCCCC" w:sz="1"/>
              <w:left w:val="single" w:color="CCCCCC" w:sz="1"/>
              <w:bottom w:val="single" w:color="CCCCCC" w:sz="1"/>
              <w:right w:val="single" w:color="CCCCCC" w:sz="1"/>
            </w:tcBorders>
            <w:shd w:val="clear" w:color="auto" w:fill="FADBD8"/>
            <w:tcMar>
              <w:top w:w="80" w:type="dxa"/>
              <w:left w:w="120" w:type="dxa"/>
              <w:bottom w:w="80" w:type="dxa"/>
              <w:right w:w="120" w:type="dxa"/>
            </w:tcMar>
          </w:tcPr>
          <w:p w14:paraId="1CE43649" wp14:textId="77777777">
            <w:pPr>
              <w:jc w:val="center"/>
            </w:pPr>
            <w:r>
              <w:rPr>
                <w:rFonts w:ascii="Arial" w:hAnsi="Arial" w:eastAsia="Arial" w:cs="Arial"/>
                <w:b/>
                <w:bCs/>
                <w:color w:val="1A5276"/>
                <w:sz w:val="20"/>
                <w:szCs w:val="20"/>
              </w:rPr>
              <w:t xml:space="preserve">Critical</w:t>
            </w:r>
          </w:p>
        </w:tc>
      </w:tr>
      <w:tr xmlns:wp14="http://schemas.microsoft.com/office/word/2010/wordml" w:rsidTr="763AA2EB" w14:paraId="1FEC7312"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B160F2C" wp14:textId="77777777">
            <w:r>
              <w:rPr>
                <w:rFonts w:ascii="Arial" w:hAnsi="Arial" w:eastAsia="Arial" w:cs="Arial"/>
                <w:b/>
                <w:bCs/>
                <w:color w:val="1A1A2E"/>
                <w:sz w:val="20"/>
                <w:szCs w:val="20"/>
              </w:rPr>
              <w:t xml:space="preserve">Age Group</w:t>
            </w:r>
          </w:p>
        </w:tc>
        <w:tc>
          <w:tcPr>
            <w:tcW w:w="5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1F17E60" wp14:textId="77777777">
            <w:r>
              <w:rPr>
                <w:rFonts w:ascii="Arial" w:hAnsi="Arial" w:eastAsia="Arial" w:cs="Arial"/>
                <w:sz w:val="20"/>
                <w:szCs w:val="20"/>
              </w:rPr>
              <w:t xml:space="preserve">49% of attrition (116/237) from the 26-35 age bracket — early career stage</w:t>
            </w:r>
          </w:p>
        </w:tc>
        <w:tc>
          <w:tcPr>
            <w:tcW w:w="1800" w:type="dxa"/>
            <w:tcBorders>
              <w:top w:val="single" w:color="CCCCCC" w:sz="1"/>
              <w:left w:val="single" w:color="CCCCCC" w:sz="1"/>
              <w:bottom w:val="single" w:color="CCCCCC" w:sz="1"/>
              <w:right w:val="single" w:color="CCCCCC" w:sz="1"/>
            </w:tcBorders>
            <w:shd w:val="clear" w:color="auto" w:fill="FADBD8"/>
            <w:tcMar>
              <w:top w:w="80" w:type="dxa"/>
              <w:left w:w="120" w:type="dxa"/>
              <w:bottom w:w="80" w:type="dxa"/>
              <w:right w:w="120" w:type="dxa"/>
            </w:tcMar>
          </w:tcPr>
          <w:p w14:paraId="48E9AF7A" wp14:textId="77777777">
            <w:pPr>
              <w:jc w:val="center"/>
            </w:pPr>
            <w:r>
              <w:rPr>
                <w:rFonts w:ascii="Arial" w:hAnsi="Arial" w:eastAsia="Arial" w:cs="Arial"/>
                <w:b/>
                <w:bCs/>
                <w:color w:val="1A5276"/>
                <w:sz w:val="20"/>
                <w:szCs w:val="20"/>
              </w:rPr>
              <w:t xml:space="preserve">Critical</w:t>
            </w:r>
          </w:p>
        </w:tc>
      </w:tr>
      <w:tr xmlns:wp14="http://schemas.microsoft.com/office/word/2010/wordml" w:rsidTr="763AA2EB" w14:paraId="1917C7A6" wp14:textId="77777777">
        <w:tc>
          <w:tcPr>
            <w:tcW w:w="1800" w:type="dxa"/>
            <w:tcBorders>
              <w:top w:val="single" w:color="CCCCCC" w:sz="1"/>
              <w:left w:val="single" w:color="CCCCCC" w:sz="1"/>
              <w:bottom w:val="single" w:color="CCCCCC" w:sz="1"/>
              <w:right w:val="single" w:color="CCCCCC" w:sz="1"/>
            </w:tcBorders>
            <w:shd w:val="clear" w:color="auto" w:fill="EAF2FF"/>
            <w:tcMar>
              <w:top w:w="80" w:type="dxa"/>
              <w:left w:w="120" w:type="dxa"/>
              <w:bottom w:w="80" w:type="dxa"/>
              <w:right w:w="120" w:type="dxa"/>
            </w:tcMar>
          </w:tcPr>
          <w:p w14:paraId="7C7739B8" wp14:textId="77777777">
            <w:r>
              <w:rPr>
                <w:rFonts w:ascii="Arial" w:hAnsi="Arial" w:eastAsia="Arial" w:cs="Arial"/>
                <w:b/>
                <w:bCs/>
                <w:color w:val="1A1A2E"/>
                <w:sz w:val="20"/>
                <w:szCs w:val="20"/>
              </w:rPr>
              <w:t xml:space="preserve">Job Role</w:t>
            </w:r>
          </w:p>
        </w:tc>
        <w:tc>
          <w:tcPr>
            <w:tcW w:w="5760" w:type="dxa"/>
            <w:tcBorders>
              <w:top w:val="single" w:color="CCCCCC" w:sz="1"/>
              <w:left w:val="single" w:color="CCCCCC" w:sz="1"/>
              <w:bottom w:val="single" w:color="CCCCCC" w:sz="1"/>
              <w:right w:val="single" w:color="CCCCCC" w:sz="1"/>
            </w:tcBorders>
            <w:shd w:val="clear" w:color="auto" w:fill="EAF2FF"/>
            <w:tcMar>
              <w:top w:w="80" w:type="dxa"/>
              <w:left w:w="120" w:type="dxa"/>
              <w:bottom w:w="80" w:type="dxa"/>
              <w:right w:w="120" w:type="dxa"/>
            </w:tcMar>
          </w:tcPr>
          <w:p w14:paraId="4483607D" wp14:textId="77777777">
            <w:r>
              <w:rPr>
                <w:rFonts w:ascii="Arial" w:hAnsi="Arial" w:eastAsia="Arial" w:cs="Arial"/>
                <w:sz w:val="20"/>
                <w:szCs w:val="20"/>
              </w:rPr>
              <w:t xml:space="preserve">Lab Technicians (62) and Sales Executives (57) account for 50% of all attritions</w:t>
            </w:r>
          </w:p>
        </w:tc>
        <w:tc>
          <w:tcPr>
            <w:tcW w:w="1800" w:type="dxa"/>
            <w:tcBorders>
              <w:top w:val="single" w:color="CCCCCC" w:sz="1"/>
              <w:left w:val="single" w:color="CCCCCC" w:sz="1"/>
              <w:bottom w:val="single" w:color="CCCCCC" w:sz="1"/>
              <w:right w:val="single" w:color="CCCCCC" w:sz="1"/>
            </w:tcBorders>
            <w:shd w:val="clear" w:color="auto" w:fill="FDEBD0"/>
            <w:tcMar>
              <w:top w:w="80" w:type="dxa"/>
              <w:left w:w="120" w:type="dxa"/>
              <w:bottom w:w="80" w:type="dxa"/>
              <w:right w:w="120" w:type="dxa"/>
            </w:tcMar>
          </w:tcPr>
          <w:p w14:paraId="7E177962" wp14:textId="77777777">
            <w:pPr>
              <w:jc w:val="center"/>
            </w:pPr>
            <w:r>
              <w:rPr>
                <w:rFonts w:ascii="Arial" w:hAnsi="Arial" w:eastAsia="Arial" w:cs="Arial"/>
                <w:b/>
                <w:bCs/>
                <w:color w:val="E67E22"/>
                <w:sz w:val="20"/>
                <w:szCs w:val="20"/>
              </w:rPr>
              <w:t xml:space="preserve">High</w:t>
            </w:r>
          </w:p>
        </w:tc>
      </w:tr>
      <w:tr xmlns:wp14="http://schemas.microsoft.com/office/word/2010/wordml" w:rsidTr="763AA2EB" w14:paraId="05EC04B1"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0EDB1DC" wp14:textId="77777777">
            <w:r>
              <w:rPr>
                <w:rFonts w:ascii="Arial" w:hAnsi="Arial" w:eastAsia="Arial" w:cs="Arial"/>
                <w:b/>
                <w:bCs/>
                <w:color w:val="1A1A2E"/>
                <w:sz w:val="20"/>
                <w:szCs w:val="20"/>
              </w:rPr>
              <w:t xml:space="preserve">Tenure</w:t>
            </w:r>
          </w:p>
        </w:tc>
        <w:tc>
          <w:tcPr>
            <w:tcW w:w="5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6DC5504" wp14:textId="77777777">
            <w:r>
              <w:rPr>
                <w:rFonts w:ascii="Arial" w:hAnsi="Arial" w:eastAsia="Arial" w:cs="Arial"/>
                <w:sz w:val="20"/>
                <w:szCs w:val="20"/>
              </w:rPr>
              <w:t xml:space="preserve">Spike at Year 0-2 — leaving decisions made extremely early in employment</w:t>
            </w:r>
          </w:p>
        </w:tc>
        <w:tc>
          <w:tcPr>
            <w:tcW w:w="1800" w:type="dxa"/>
            <w:tcBorders>
              <w:top w:val="single" w:color="CCCCCC" w:sz="1"/>
              <w:left w:val="single" w:color="CCCCCC" w:sz="1"/>
              <w:bottom w:val="single" w:color="CCCCCC" w:sz="1"/>
              <w:right w:val="single" w:color="CCCCCC" w:sz="1"/>
            </w:tcBorders>
            <w:shd w:val="clear" w:color="auto" w:fill="FDEBD0"/>
            <w:tcMar>
              <w:top w:w="80" w:type="dxa"/>
              <w:left w:w="120" w:type="dxa"/>
              <w:bottom w:w="80" w:type="dxa"/>
              <w:right w:w="120" w:type="dxa"/>
            </w:tcMar>
          </w:tcPr>
          <w:p w14:paraId="05FAD91F" wp14:textId="77777777">
            <w:pPr>
              <w:jc w:val="center"/>
            </w:pPr>
            <w:r>
              <w:rPr>
                <w:rFonts w:ascii="Arial" w:hAnsi="Arial" w:eastAsia="Arial" w:cs="Arial"/>
                <w:b/>
                <w:bCs/>
                <w:color w:val="E67E22"/>
                <w:sz w:val="20"/>
                <w:szCs w:val="20"/>
              </w:rPr>
              <w:t xml:space="preserve">High</w:t>
            </w:r>
          </w:p>
        </w:tc>
      </w:tr>
      <w:tr xmlns:wp14="http://schemas.microsoft.com/office/word/2010/wordml" w:rsidTr="763AA2EB" w14:paraId="1991559E" wp14:textId="77777777">
        <w:tc>
          <w:tcPr>
            <w:tcW w:w="1800" w:type="dxa"/>
            <w:tcBorders>
              <w:top w:val="single" w:color="CCCCCC" w:sz="1"/>
              <w:left w:val="single" w:color="CCCCCC" w:sz="1"/>
              <w:bottom w:val="single" w:color="CCCCCC" w:sz="1"/>
              <w:right w:val="single" w:color="CCCCCC" w:sz="1"/>
            </w:tcBorders>
            <w:shd w:val="clear" w:color="auto" w:fill="EAF2FF"/>
            <w:tcMar>
              <w:top w:w="80" w:type="dxa"/>
              <w:left w:w="120" w:type="dxa"/>
              <w:bottom w:w="80" w:type="dxa"/>
              <w:right w:w="120" w:type="dxa"/>
            </w:tcMar>
          </w:tcPr>
          <w:p w14:paraId="70AA5834" wp14:textId="77777777">
            <w:r>
              <w:rPr>
                <w:rFonts w:ascii="Arial" w:hAnsi="Arial" w:eastAsia="Arial" w:cs="Arial"/>
                <w:b/>
                <w:bCs/>
                <w:color w:val="1A1A2E"/>
                <w:sz w:val="20"/>
                <w:szCs w:val="20"/>
              </w:rPr>
              <w:t xml:space="preserve">Gender</w:t>
            </w:r>
          </w:p>
        </w:tc>
        <w:tc>
          <w:tcPr>
            <w:tcW w:w="5760" w:type="dxa"/>
            <w:tcBorders>
              <w:top w:val="single" w:color="CCCCCC" w:sz="1"/>
              <w:left w:val="single" w:color="CCCCCC" w:sz="1"/>
              <w:bottom w:val="single" w:color="CCCCCC" w:sz="1"/>
              <w:right w:val="single" w:color="CCCCCC" w:sz="1"/>
            </w:tcBorders>
            <w:shd w:val="clear" w:color="auto" w:fill="EAF2FF"/>
            <w:tcMar>
              <w:top w:w="80" w:type="dxa"/>
              <w:left w:w="120" w:type="dxa"/>
              <w:bottom w:w="80" w:type="dxa"/>
              <w:right w:w="120" w:type="dxa"/>
            </w:tcMar>
          </w:tcPr>
          <w:p w14:paraId="73590258" wp14:textId="77777777">
            <w:r w:rsidRPr="763AA2EB" w:rsidR="763AA2EB">
              <w:rPr>
                <w:rFonts w:ascii="Arial" w:hAnsi="Arial" w:eastAsia="Arial" w:cs="Arial"/>
                <w:sz w:val="20"/>
                <w:szCs w:val="20"/>
                <w:lang w:val="en-GB"/>
              </w:rPr>
              <w:t>Males account for 54% of attritions (128 vs 72), likely reflecting role composition</w:t>
            </w:r>
          </w:p>
        </w:tc>
        <w:tc>
          <w:tcPr>
            <w:tcW w:w="1800" w:type="dxa"/>
            <w:tcBorders>
              <w:top w:val="single" w:color="CCCCCC" w:sz="1"/>
              <w:left w:val="single" w:color="CCCCCC" w:sz="1"/>
              <w:bottom w:val="single" w:color="CCCCCC" w:sz="1"/>
              <w:right w:val="single" w:color="CCCCCC" w:sz="1"/>
            </w:tcBorders>
            <w:shd w:val="clear" w:color="auto" w:fill="EAFAF1"/>
            <w:tcMar>
              <w:top w:w="80" w:type="dxa"/>
              <w:left w:w="120" w:type="dxa"/>
              <w:bottom w:w="80" w:type="dxa"/>
              <w:right w:w="120" w:type="dxa"/>
            </w:tcMar>
          </w:tcPr>
          <w:p w14:paraId="34B92B97" wp14:textId="77777777">
            <w:pPr>
              <w:jc w:val="center"/>
            </w:pPr>
            <w:r>
              <w:rPr>
                <w:rFonts w:ascii="Arial" w:hAnsi="Arial" w:eastAsia="Arial" w:cs="Arial"/>
                <w:b/>
                <w:bCs/>
                <w:color w:val="1E8449"/>
                <w:sz w:val="20"/>
                <w:szCs w:val="20"/>
              </w:rPr>
              <w:t xml:space="preserve">Moderate</w:t>
            </w:r>
          </w:p>
        </w:tc>
      </w:tr>
      <w:tr xmlns:wp14="http://schemas.microsoft.com/office/word/2010/wordml" w:rsidTr="763AA2EB" w14:paraId="36F41C69"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D0C959" wp14:textId="77777777">
            <w:r>
              <w:rPr>
                <w:rFonts w:ascii="Arial" w:hAnsi="Arial" w:eastAsia="Arial" w:cs="Arial"/>
                <w:b/>
                <w:bCs/>
                <w:color w:val="1A1A2E"/>
                <w:sz w:val="20"/>
                <w:szCs w:val="20"/>
              </w:rPr>
              <w:t xml:space="preserve">Education</w:t>
            </w:r>
          </w:p>
        </w:tc>
        <w:tc>
          <w:tcPr>
            <w:tcW w:w="5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BF273EA" wp14:textId="77777777">
            <w:r>
              <w:rPr>
                <w:rFonts w:ascii="Arial" w:hAnsi="Arial" w:eastAsia="Arial" w:cs="Arial"/>
                <w:sz w:val="20"/>
                <w:szCs w:val="20"/>
              </w:rPr>
              <w:t xml:space="preserve">Life Sciences (38%) and Medical (27%) backgrounds are most affected</w:t>
            </w:r>
          </w:p>
        </w:tc>
        <w:tc>
          <w:tcPr>
            <w:tcW w:w="1800" w:type="dxa"/>
            <w:tcBorders>
              <w:top w:val="single" w:color="CCCCCC" w:sz="1"/>
              <w:left w:val="single" w:color="CCCCCC" w:sz="1"/>
              <w:bottom w:val="single" w:color="CCCCCC" w:sz="1"/>
              <w:right w:val="single" w:color="CCCCCC" w:sz="1"/>
            </w:tcBorders>
            <w:shd w:val="clear" w:color="auto" w:fill="EAFAF1"/>
            <w:tcMar>
              <w:top w:w="80" w:type="dxa"/>
              <w:left w:w="120" w:type="dxa"/>
              <w:bottom w:w="80" w:type="dxa"/>
              <w:right w:w="120" w:type="dxa"/>
            </w:tcMar>
          </w:tcPr>
          <w:p w14:paraId="4975FE33" wp14:textId="77777777">
            <w:pPr>
              <w:jc w:val="center"/>
            </w:pPr>
            <w:r>
              <w:rPr>
                <w:rFonts w:ascii="Arial" w:hAnsi="Arial" w:eastAsia="Arial" w:cs="Arial"/>
                <w:b/>
                <w:bCs/>
                <w:color w:val="1E8449"/>
                <w:sz w:val="20"/>
                <w:szCs w:val="20"/>
              </w:rPr>
              <w:t xml:space="preserve">Moderate</w:t>
            </w:r>
          </w:p>
        </w:tc>
      </w:tr>
    </w:tbl>
    <w:p xmlns:wp14="http://schemas.microsoft.com/office/word/2010/wordml" w14:paraId="44EAFD9C" wp14:textId="77777777">
      <w:pPr>
        <w:spacing w:before="80" w:after="80"/>
      </w:pPr>
      <w:r/>
    </w:p>
    <w:p xmlns:wp14="http://schemas.microsoft.com/office/word/2010/wordml" w14:paraId="6418BD69" wp14:textId="77777777">
      <w:pPr>
        <w:pStyle w:val="Heading2"/>
        <w:spacing w:before="240" w:after="120"/>
      </w:pPr>
      <w:r>
        <w:rPr>
          <w:rFonts w:ascii="Arial" w:hAnsi="Arial" w:eastAsia="Arial" w:cs="Arial"/>
          <w:b/>
          <w:bCs/>
          <w:color w:val="1A5276"/>
          <w:sz w:val="26"/>
          <w:szCs w:val="26"/>
        </w:rPr>
        <w:t xml:space="preserve">3.1 Compensation Analysis</w:t>
      </w:r>
    </w:p>
    <w:p xmlns:wp14="http://schemas.microsoft.com/office/word/2010/wordml" w14:paraId="4B6C75F7" wp14:textId="77777777">
      <w:pPr>
        <w:spacing w:before="80" w:after="80"/>
      </w:pPr>
      <w:r>
        <w:rPr>
          <w:rFonts w:ascii="Arial" w:hAnsi="Arial" w:eastAsia="Arial" w:cs="Arial"/>
          <w:sz w:val="22"/>
          <w:szCs w:val="22"/>
        </w:rPr>
        <w:t xml:space="preserve">163 out of 237 attritions (69%) originate from the lowest salary band — employees earning up to $5,000. The remaining bands (5K-10K: 49, 10K-15K: 20, 15K+: 5) show dramatically lower attrition, confirming a strong inverse relationship between salary and retention.</w:t>
      </w:r>
    </w:p>
    <w:p xmlns:wp14="http://schemas.microsoft.com/office/word/2010/wordml" w14:paraId="4B94D5A5" wp14:textId="77777777">
      <w:pPr>
        <w:spacing w:before="80" w:after="80"/>
      </w:pPr>
      <w:r/>
    </w:p>
    <w:p xmlns:wp14="http://schemas.microsoft.com/office/word/2010/wordml" w14:paraId="17F2397C" wp14:textId="77777777">
      <w:pPr>
        <w:spacing w:before="80" w:after="80"/>
      </w:pPr>
      <w:r>
        <w:rPr>
          <w:rFonts w:ascii="Arial" w:hAnsi="Arial" w:eastAsia="Arial" w:cs="Arial"/>
          <w:i/>
          <w:iCs/>
          <w:color w:val="777777"/>
          <w:sz w:val="22"/>
          <w:szCs w:val="22"/>
        </w:rPr>
        <w:t xml:space="preserve">Important caveat: Without total headcount per salary band, we cannot calculate the attrition rate per band. It is possible that the majority of the workforce falls in the &lt;$5K bracket, making the absolute number proportional. This is a data gap worth flagging.</w:t>
      </w:r>
    </w:p>
    <w:p xmlns:wp14="http://schemas.microsoft.com/office/word/2010/wordml" w14:paraId="3DEEC669" wp14:textId="77777777">
      <w:pPr>
        <w:spacing w:before="80" w:after="80"/>
      </w:pPr>
      <w:r/>
    </w:p>
    <w:p xmlns:wp14="http://schemas.microsoft.com/office/word/2010/wordml" w14:paraId="7E5C5152" wp14:textId="77777777">
      <w:pPr>
        <w:pStyle w:val="Heading2"/>
        <w:spacing w:before="240" w:after="120"/>
      </w:pPr>
      <w:r>
        <w:rPr>
          <w:rFonts w:ascii="Arial" w:hAnsi="Arial" w:eastAsia="Arial" w:cs="Arial"/>
          <w:b/>
          <w:bCs/>
          <w:color w:val="1A5276"/>
          <w:sz w:val="26"/>
          <w:szCs w:val="26"/>
        </w:rPr>
        <w:t xml:space="preserve">3.2 Age Group Analysis</w:t>
      </w:r>
    </w:p>
    <w:p xmlns:wp14="http://schemas.microsoft.com/office/word/2010/wordml" w14:paraId="56F2F089" wp14:textId="77777777">
      <w:pPr>
        <w:spacing w:before="80" w:after="80"/>
      </w:pPr>
      <w:r>
        <w:rPr>
          <w:rFonts w:ascii="Arial" w:hAnsi="Arial" w:eastAsia="Arial" w:cs="Arial"/>
          <w:sz w:val="22"/>
          <w:szCs w:val="22"/>
        </w:rPr>
        <w:t xml:space="preserve">The 26-35 age bracket accounts for 116 attritions — nearly 49% of all departures. This is the career stage where employees:</w:t>
      </w:r>
    </w:p>
    <w:p xmlns:wp14="http://schemas.microsoft.com/office/word/2010/wordml" w14:paraId="476341C6" wp14:textId="77777777">
      <w:pPr>
        <w:pStyle w:val="ListParagraph"/>
        <w:numPr>
          <w:ilvl w:val="0"/>
          <w:numId w:val="2"/>
        </w:numPr>
        <w:spacing w:before="60" w:after="60"/>
      </w:pPr>
      <w:r>
        <w:rPr>
          <w:rFonts w:ascii="Arial" w:hAnsi="Arial" w:eastAsia="Arial" w:cs="Arial"/>
          <w:b w:val="false"/>
          <w:bCs w:val="false"/>
          <w:sz w:val="22"/>
          <w:szCs w:val="22"/>
        </w:rPr>
        <w:t xml:space="preserve">Have acquired enough skills to be actively poachable by competitors</w:t>
      </w:r>
    </w:p>
    <w:p xmlns:wp14="http://schemas.microsoft.com/office/word/2010/wordml" w14:paraId="4A1DEFB0" wp14:textId="77777777">
      <w:pPr>
        <w:pStyle w:val="ListParagraph"/>
        <w:numPr>
          <w:ilvl w:val="0"/>
          <w:numId w:val="2"/>
        </w:numPr>
        <w:spacing w:before="60" w:after="60"/>
      </w:pPr>
      <w:r>
        <w:rPr>
          <w:rFonts w:ascii="Arial" w:hAnsi="Arial" w:eastAsia="Arial" w:cs="Arial"/>
          <w:b w:val="false"/>
          <w:bCs w:val="false"/>
          <w:sz w:val="22"/>
          <w:szCs w:val="22"/>
        </w:rPr>
        <w:t xml:space="preserve">Begin benchmarking their salary against market rates</w:t>
      </w:r>
    </w:p>
    <w:p xmlns:wp14="http://schemas.microsoft.com/office/word/2010/wordml" w14:paraId="0CA84532" wp14:textId="77777777">
      <w:pPr>
        <w:pStyle w:val="ListParagraph"/>
        <w:numPr>
          <w:ilvl w:val="0"/>
          <w:numId w:val="2"/>
        </w:numPr>
        <w:spacing w:before="60" w:after="60"/>
      </w:pPr>
      <w:r>
        <w:rPr>
          <w:rFonts w:ascii="Arial" w:hAnsi="Arial" w:eastAsia="Arial" w:cs="Arial"/>
          <w:b w:val="false"/>
          <w:bCs w:val="false"/>
          <w:sz w:val="22"/>
          <w:szCs w:val="22"/>
        </w:rPr>
        <w:t xml:space="preserve">Expect their first promotion or raise and leave if it does not materialize</w:t>
      </w:r>
    </w:p>
    <w:p xmlns:wp14="http://schemas.microsoft.com/office/word/2010/wordml" w14:paraId="4E36A21A" wp14:textId="77777777">
      <w:pPr>
        <w:pStyle w:val="ListParagraph"/>
        <w:numPr>
          <w:ilvl w:val="0"/>
          <w:numId w:val="2"/>
        </w:numPr>
        <w:spacing w:before="60" w:after="60"/>
      </w:pPr>
      <w:r>
        <w:rPr>
          <w:rFonts w:ascii="Arial" w:hAnsi="Arial" w:eastAsia="Arial" w:cs="Arial"/>
          <w:b w:val="false"/>
          <w:bCs w:val="false"/>
          <w:sz w:val="22"/>
          <w:szCs w:val="22"/>
        </w:rPr>
        <w:t xml:space="preserve">Are actively job-hopping to accelerate career growth</w:t>
      </w:r>
    </w:p>
    <w:p xmlns:wp14="http://schemas.microsoft.com/office/word/2010/wordml" w14:paraId="3656B9AB" wp14:textId="77777777">
      <w:pPr>
        <w:spacing w:before="80" w:after="80"/>
      </w:pPr>
      <w:r/>
    </w:p>
    <w:p xmlns:wp14="http://schemas.microsoft.com/office/word/2010/wordml" w14:paraId="2568FBB1" wp14:textId="77777777">
      <w:pPr>
        <w:spacing w:before="80" w:after="80"/>
      </w:pPr>
      <w:r>
        <w:rPr>
          <w:rFonts w:ascii="Arial" w:hAnsi="Arial" w:eastAsia="Arial" w:cs="Arial"/>
          <w:sz w:val="22"/>
          <w:szCs w:val="22"/>
        </w:rPr>
        <w:t xml:space="preserve">Notably, senior employees (46-55: 26, 55+: 8) show significantly lower attrition — likely due to higher salaries, accrued benefits, and greater organizational loyalty.</w:t>
      </w:r>
    </w:p>
    <w:p xmlns:wp14="http://schemas.microsoft.com/office/word/2010/wordml" w14:paraId="45FB0818" wp14:textId="77777777">
      <w:pPr>
        <w:spacing w:before="80" w:after="80"/>
      </w:pPr>
      <w:r/>
    </w:p>
    <w:p xmlns:wp14="http://schemas.microsoft.com/office/word/2010/wordml" w14:paraId="5C311CE6" wp14:textId="77777777">
      <w:pPr>
        <w:pStyle w:val="Heading2"/>
        <w:spacing w:before="240" w:after="120"/>
      </w:pPr>
      <w:r>
        <w:rPr>
          <w:rFonts w:ascii="Arial" w:hAnsi="Arial" w:eastAsia="Arial" w:cs="Arial"/>
          <w:b/>
          <w:bCs/>
          <w:color w:val="1A5276"/>
          <w:sz w:val="26"/>
          <w:szCs w:val="26"/>
        </w:rPr>
        <w:t xml:space="preserve">3.3 Job Role Analysis</w:t>
      </w:r>
    </w:p>
    <w:p xmlns:wp14="http://schemas.microsoft.com/office/word/2010/wordml" w14:paraId="5AB9C8F5" wp14:textId="77777777">
      <w:pPr>
        <w:spacing w:before="80" w:after="80"/>
      </w:pPr>
      <w:r>
        <w:rPr>
          <w:rFonts w:ascii="Arial" w:hAnsi="Arial" w:eastAsia="Arial" w:cs="Arial"/>
          <w:sz w:val="22"/>
          <w:szCs w:val="22"/>
        </w:rPr>
        <w:t xml:space="preserve">Cross-referencing age and salary data with job roles reveals the most concentrated attrition risk:</w:t>
      </w:r>
    </w:p>
    <w:p xmlns:wp14="http://schemas.microsoft.com/office/word/2010/wordml" w14:paraId="0CBE2FE5" wp14:textId="77777777">
      <w:pPr>
        <w:pStyle w:val="ListParagraph"/>
        <w:numPr>
          <w:ilvl w:val="0"/>
          <w:numId w:val="2"/>
        </w:numPr>
        <w:spacing w:before="60" w:after="60"/>
      </w:pPr>
      <w:r>
        <w:rPr>
          <w:rFonts w:ascii="Arial" w:hAnsi="Arial" w:eastAsia="Arial" w:cs="Arial"/>
          <w:b w:val="false"/>
          <w:bCs w:val="false"/>
          <w:sz w:val="22"/>
          <w:szCs w:val="22"/>
        </w:rPr>
        <w:t xml:space="preserve">Laboratory Technicians: 62 attritions (26% of total) — highest of any role</w:t>
      </w:r>
    </w:p>
    <w:p xmlns:wp14="http://schemas.microsoft.com/office/word/2010/wordml" w14:paraId="40FF06B6" wp14:textId="77777777">
      <w:pPr>
        <w:pStyle w:val="ListParagraph"/>
        <w:numPr>
          <w:ilvl w:val="0"/>
          <w:numId w:val="2"/>
        </w:numPr>
        <w:spacing w:before="60" w:after="60"/>
      </w:pPr>
      <w:r>
        <w:rPr>
          <w:rFonts w:ascii="Arial" w:hAnsi="Arial" w:eastAsia="Arial" w:cs="Arial"/>
          <w:b w:val="false"/>
          <w:bCs w:val="false"/>
          <w:sz w:val="22"/>
          <w:szCs w:val="22"/>
        </w:rPr>
        <w:t xml:space="preserve">Sales Executives: 57 attritions (24% of total)</w:t>
      </w:r>
    </w:p>
    <w:p xmlns:wp14="http://schemas.microsoft.com/office/word/2010/wordml" w14:paraId="5958B226" wp14:textId="77777777">
      <w:pPr>
        <w:pStyle w:val="ListParagraph"/>
        <w:numPr>
          <w:ilvl w:val="0"/>
          <w:numId w:val="2"/>
        </w:numPr>
        <w:spacing w:before="60" w:after="60"/>
      </w:pPr>
      <w:r>
        <w:rPr>
          <w:rFonts w:ascii="Arial" w:hAnsi="Arial" w:eastAsia="Arial" w:cs="Arial"/>
          <w:b w:val="false"/>
          <w:bCs w:val="false"/>
          <w:sz w:val="22"/>
          <w:szCs w:val="22"/>
        </w:rPr>
        <w:t xml:space="preserve">Research Scientists: 47 attritions</w:t>
      </w:r>
    </w:p>
    <w:p xmlns:wp14="http://schemas.microsoft.com/office/word/2010/wordml" w14:paraId="049F31CB" wp14:textId="77777777">
      <w:pPr>
        <w:spacing w:before="80" w:after="80"/>
      </w:pPr>
      <w:r/>
    </w:p>
    <w:p xmlns:wp14="http://schemas.microsoft.com/office/word/2010/wordml" w14:paraId="4D400140" wp14:textId="77777777">
      <w:pPr>
        <w:spacing w:before="80" w:after="80"/>
      </w:pPr>
      <w:r>
        <w:rPr>
          <w:rFonts w:ascii="Arial" w:hAnsi="Arial" w:eastAsia="Arial" w:cs="Arial"/>
          <w:sz w:val="22"/>
          <w:szCs w:val="22"/>
        </w:rPr>
        <w:t xml:space="preserve">Laboratory Technicians and Sales Executives together account for 50% of all attrition. These are likely young employees (26-35) in the low salary band, without visible career progression — making them the single highest-priority intervention group.</w:t>
      </w:r>
    </w:p>
    <w:p xmlns:wp14="http://schemas.microsoft.com/office/word/2010/wordml" w14:paraId="53128261" wp14:textId="77777777">
      <w:pPr>
        <w:spacing w:before="80" w:after="80"/>
      </w:pPr>
      <w:r/>
    </w:p>
    <w:p xmlns:wp14="http://schemas.microsoft.com/office/word/2010/wordml" w14:paraId="4858AECA" wp14:textId="77777777">
      <w:pPr>
        <w:pStyle w:val="Heading2"/>
        <w:spacing w:before="240" w:after="120"/>
      </w:pPr>
      <w:r>
        <w:rPr>
          <w:rFonts w:ascii="Arial" w:hAnsi="Arial" w:eastAsia="Arial" w:cs="Arial"/>
          <w:b/>
          <w:bCs/>
          <w:color w:val="1A5276"/>
          <w:sz w:val="26"/>
          <w:szCs w:val="26"/>
        </w:rPr>
        <w:t xml:space="preserve">3.4 Tenure Analysis</w:t>
      </w:r>
    </w:p>
    <w:p xmlns:wp14="http://schemas.microsoft.com/office/word/2010/wordml" w14:paraId="4C789061" wp14:textId="77777777">
      <w:pPr>
        <w:spacing w:before="80" w:after="80"/>
      </w:pPr>
      <w:r>
        <w:rPr>
          <w:rFonts w:ascii="Arial" w:hAnsi="Arial" w:eastAsia="Arial" w:cs="Arial"/>
          <w:sz w:val="22"/>
          <w:szCs w:val="22"/>
        </w:rPr>
        <w:t xml:space="preserve">The Attrition by Years at Company chart reveals a critical pattern: attrition spikes sharply at Year 0-2 (peaking at 54 employees at Year 1), drops after Year 5, and remains low beyond Year 7. This means:</w:t>
      </w:r>
    </w:p>
    <w:p xmlns:wp14="http://schemas.microsoft.com/office/word/2010/wordml" w14:paraId="510C3E19" wp14:textId="77777777">
      <w:pPr>
        <w:pStyle w:val="ListParagraph"/>
        <w:numPr>
          <w:ilvl w:val="0"/>
          <w:numId w:val="2"/>
        </w:numPr>
        <w:spacing w:before="60" w:after="60"/>
      </w:pPr>
      <w:r>
        <w:rPr>
          <w:rFonts w:ascii="Arial" w:hAnsi="Arial" w:eastAsia="Arial" w:cs="Arial"/>
          <w:b w:val="false"/>
          <w:bCs w:val="false"/>
          <w:sz w:val="22"/>
          <w:szCs w:val="22"/>
        </w:rPr>
        <w:t xml:space="preserve">Employees make their 'stay or leave' decision within the first 24 months</w:t>
      </w:r>
    </w:p>
    <w:p xmlns:wp14="http://schemas.microsoft.com/office/word/2010/wordml" w14:paraId="37775699" wp14:textId="77777777">
      <w:pPr>
        <w:pStyle w:val="ListParagraph"/>
        <w:numPr>
          <w:ilvl w:val="0"/>
          <w:numId w:val="2"/>
        </w:numPr>
        <w:spacing w:before="60" w:after="60"/>
      </w:pPr>
      <w:r>
        <w:rPr>
          <w:rFonts w:ascii="Arial" w:hAnsi="Arial" w:eastAsia="Arial" w:cs="Arial"/>
          <w:b w:val="false"/>
          <w:bCs w:val="false"/>
          <w:sz w:val="22"/>
          <w:szCs w:val="22"/>
        </w:rPr>
        <w:t xml:space="preserve">HR cannot afford to wait until Year 3 to engage employees</w:t>
      </w:r>
    </w:p>
    <w:p xmlns:wp14="http://schemas.microsoft.com/office/word/2010/wordml" w14:paraId="5BCC3C49" wp14:textId="77777777">
      <w:pPr>
        <w:pStyle w:val="ListParagraph"/>
        <w:numPr>
          <w:ilvl w:val="0"/>
          <w:numId w:val="2"/>
        </w:numPr>
        <w:spacing w:before="60" w:after="60"/>
      </w:pPr>
      <w:r>
        <w:rPr>
          <w:rFonts w:ascii="Arial" w:hAnsi="Arial" w:eastAsia="Arial" w:cs="Arial"/>
          <w:b w:val="false"/>
          <w:bCs w:val="false"/>
          <w:sz w:val="22"/>
          <w:szCs w:val="22"/>
        </w:rPr>
        <w:t xml:space="preserve">Early onboarding experience and first-year satisfaction are the most decisive retention factors</w:t>
      </w:r>
    </w:p>
    <w:p xmlns:wp14="http://schemas.microsoft.com/office/word/2010/wordml" w14:paraId="62486C05" wp14:textId="77777777">
      <w:pPr>
        <w:spacing w:before="80" w:after="80"/>
      </w:pPr>
      <w:r/>
    </w:p>
    <w:p xmlns:wp14="http://schemas.microsoft.com/office/word/2010/wordml" w14:paraId="6633CA81" wp14:textId="77777777">
      <w:pPr>
        <w:pStyle w:val="Heading2"/>
        <w:spacing w:before="240" w:after="120"/>
      </w:pPr>
      <w:r>
        <w:rPr>
          <w:rFonts w:ascii="Arial" w:hAnsi="Arial" w:eastAsia="Arial" w:cs="Arial"/>
          <w:b/>
          <w:bCs/>
          <w:color w:val="1A5276"/>
          <w:sz w:val="26"/>
          <w:szCs w:val="26"/>
        </w:rPr>
        <w:t xml:space="preserve">3.5 Gender Analysis</w:t>
      </w:r>
    </w:p>
    <w:p xmlns:wp14="http://schemas.microsoft.com/office/word/2010/wordml" w14:paraId="647BBFF6" wp14:textId="77777777">
      <w:pPr>
        <w:spacing w:before="80" w:after="80"/>
      </w:pPr>
      <w:r>
        <w:rPr>
          <w:rFonts w:ascii="Arial" w:hAnsi="Arial" w:eastAsia="Arial" w:cs="Arial"/>
          <w:sz w:val="22"/>
          <w:szCs w:val="22"/>
        </w:rPr>
        <w:t xml:space="preserve">Male employees account for 128 attritions (54%) versus 72 for females (46%). However, without gender-wise headcount data, it is difficult to determine whether this reflects a genuine gender-based risk or simply a male-dominant workforce composition.</w:t>
      </w:r>
    </w:p>
    <w:p xmlns:wp14="http://schemas.microsoft.com/office/word/2010/wordml" w14:paraId="4101652C" wp14:textId="77777777">
      <w:pPr>
        <w:spacing w:before="80" w:after="80"/>
      </w:pPr>
      <w:r/>
    </w:p>
    <w:p xmlns:wp14="http://schemas.microsoft.com/office/word/2010/wordml" w14:paraId="68A8572A" wp14:textId="77777777">
      <w:pPr>
        <w:spacing w:before="80" w:after="80"/>
      </w:pPr>
      <w:r>
        <w:rPr>
          <w:rFonts w:ascii="Arial" w:hAnsi="Arial" w:eastAsia="Arial" w:cs="Arial"/>
          <w:sz w:val="22"/>
          <w:szCs w:val="22"/>
        </w:rPr>
        <w:t xml:space="preserve">Hypothesis: The high-attrition roles (Lab Technicians, Sales Executives) are likely male-dominated — making gender a downstream reflection of role concentration rather than an independent attrition driver.</w:t>
      </w:r>
    </w:p>
    <w:p xmlns:wp14="http://schemas.microsoft.com/office/word/2010/wordml" w14:paraId="4B99056E" wp14:textId="77777777">
      <w:pPr>
        <w:spacing w:before="80" w:after="80"/>
      </w:pPr>
      <w:r/>
    </w:p>
    <w:p xmlns:wp14="http://schemas.microsoft.com/office/word/2010/wordml" w14:paraId="1299C43A" wp14:textId="77777777">
      <w:r>
        <w:br w:type="page"/>
      </w:r>
    </w:p>
    <w:p xmlns:wp14="http://schemas.microsoft.com/office/word/2010/wordml" w14:paraId="344D6B09" wp14:textId="77777777">
      <w:pPr>
        <w:pStyle w:val="Heading1"/>
        <w:pBdr>
          <w:bottom w:val="single" w:color="1A5276" w:sz="8" w:space="4"/>
        </w:pBdr>
        <w:spacing w:before="320" w:after="160"/>
      </w:pPr>
      <w:r>
        <w:rPr>
          <w:rFonts w:ascii="Arial" w:hAnsi="Arial" w:eastAsia="Arial" w:cs="Arial"/>
          <w:b/>
          <w:bCs/>
          <w:color w:val="1A1A2E"/>
          <w:sz w:val="32"/>
          <w:szCs w:val="32"/>
        </w:rPr>
        <w:t xml:space="preserve">4. At-Risk Employee Profile</w:t>
      </w:r>
    </w:p>
    <w:p xmlns:wp14="http://schemas.microsoft.com/office/word/2010/wordml" w14:paraId="4DDBEF00" wp14:textId="77777777">
      <w:pPr>
        <w:spacing w:before="80" w:after="80"/>
      </w:pPr>
      <w:r/>
    </w:p>
    <w:p xmlns:wp14="http://schemas.microsoft.com/office/word/2010/wordml" w14:paraId="1571D3A4" wp14:textId="77777777">
      <w:pPr>
        <w:pBdr>
          <w:top w:val="single" w:color="1A5276" w:sz="8"/>
          <w:left w:val="single" w:color="1A5276" w:sz="8"/>
          <w:bottom w:val="single" w:color="1A5276" w:sz="8"/>
          <w:right w:val="single" w:color="1A5276" w:sz="8"/>
        </w:pBdr>
        <w:shd w:val="clear" w:fill="EAF2FF"/>
        <w:spacing w:before="160" w:after="160"/>
        <w:ind w:left="360" w:right="360"/>
        <w:jc w:val="center"/>
      </w:pPr>
      <w:r>
        <w:rPr>
          <w:rFonts w:ascii="Arial" w:hAnsi="Arial" w:eastAsia="Arial" w:cs="Arial"/>
          <w:b/>
          <w:bCs/>
          <w:color w:val="1A5276"/>
          <w:sz w:val="24"/>
          <w:szCs w:val="24"/>
        </w:rPr>
        <w:t xml:space="preserve">A young male employee, aged 26-35, working as a Laboratory Technician or Sales Executive, earning below $5K, within their first 2 years at the company — represents the highest attrition risk in this organization.</w:t>
      </w:r>
    </w:p>
    <w:p xmlns:wp14="http://schemas.microsoft.com/office/word/2010/wordml" w14:paraId="3461D779" wp14:textId="77777777">
      <w:pPr>
        <w:spacing w:before="80" w:after="80"/>
      </w:pPr>
      <w:r/>
    </w:p>
    <w:p xmlns:wp14="http://schemas.microsoft.com/office/word/2010/wordml" w14:paraId="2FC2BE95" wp14:textId="77777777">
      <w:pPr>
        <w:spacing w:before="80" w:after="80"/>
      </w:pPr>
      <w:r>
        <w:rPr>
          <w:rFonts w:ascii="Arial" w:hAnsi="Arial" w:eastAsia="Arial" w:cs="Arial"/>
          <w:sz w:val="22"/>
          <w:szCs w:val="22"/>
        </w:rPr>
        <w:t xml:space="preserve">Every variable analyzed in this study converges on the same cluster of people. This is not coincidental — it reflects a systemic failure to retain early-career technical and sales talent through adequate compensation and growth opportunities.</w:t>
      </w:r>
    </w:p>
    <w:p xmlns:wp14="http://schemas.microsoft.com/office/word/2010/wordml" w14:paraId="3CF2D8B6" wp14:textId="77777777">
      <w:pPr>
        <w:spacing w:before="80" w:after="80"/>
      </w:pPr>
      <w:r/>
    </w:p>
    <w:p xmlns:wp14="http://schemas.microsoft.com/office/word/2010/wordml" w14:paraId="1D8EFB6D" wp14:textId="77777777">
      <w:pPr>
        <w:pStyle w:val="Heading1"/>
        <w:pBdr>
          <w:bottom w:val="single" w:color="1A5276" w:sz="8" w:space="4"/>
        </w:pBdr>
        <w:spacing w:before="320" w:after="160"/>
      </w:pPr>
      <w:r>
        <w:rPr>
          <w:rFonts w:ascii="Arial" w:hAnsi="Arial" w:eastAsia="Arial" w:cs="Arial"/>
          <w:b/>
          <w:bCs/>
          <w:color w:val="1A1A2E"/>
          <w:sz w:val="32"/>
          <w:szCs w:val="32"/>
        </w:rPr>
        <w:t xml:space="preserve">5. Recommendations</w:t>
      </w:r>
    </w:p>
    <w:p xmlns:wp14="http://schemas.microsoft.com/office/word/2010/wordml" w14:paraId="47E928A7" wp14:textId="77777777">
      <w:pPr>
        <w:spacing w:before="80" w:after="80"/>
      </w:pPr>
      <w:r>
        <w:rPr>
          <w:rFonts w:ascii="Arial" w:hAnsi="Arial" w:eastAsia="Arial" w:cs="Arial"/>
          <w:sz w:val="22"/>
          <w:szCs w:val="22"/>
        </w:rPr>
        <w:t xml:space="preserve">Based on the analysis, the following five interventions are recommended in order of priority:</w:t>
      </w:r>
    </w:p>
    <w:p xmlns:wp14="http://schemas.microsoft.com/office/word/2010/wordml" w14:paraId="0FB78278"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1440"/>
        <w:gridCol w:w="1800"/>
        <w:gridCol w:w="5760"/>
      </w:tblGrid>
      <w:tr xmlns:wp14="http://schemas.microsoft.com/office/word/2010/wordml" w:rsidTr="763AA2EB" w14:paraId="29A19D72" wp14:textId="77777777">
        <w:tc>
          <w:tcPr>
            <w:tcBorders>
              <w:top w:val="single" w:color="CCCCCC" w:sz="1"/>
              <w:left w:val="single" w:color="CCCCCC" w:sz="1"/>
              <w:bottom w:val="single" w:color="CCCCCC" w:sz="1"/>
              <w:right w:val="single" w:color="CCCCCC" w:sz="1"/>
            </w:tcBorders>
            <w:shd w:val="clear" w:color="auto" w:fill="1A5276"/>
            <w:tcMar>
              <w:top w:w="80" w:type="dxa"/>
              <w:left w:w="120" w:type="dxa"/>
              <w:bottom w:w="80" w:type="dxa"/>
              <w:right w:w="120" w:type="dxa"/>
            </w:tcMar>
          </w:tcPr>
          <w:p w14:paraId="5AFC7B24" wp14:textId="77777777">
            <w:r>
              <w:rPr>
                <w:rFonts w:ascii="Arial" w:hAnsi="Arial" w:eastAsia="Arial" w:cs="Arial"/>
                <w:b/>
                <w:bCs/>
                <w:color w:val="FFFFFF"/>
                <w:sz w:val="20"/>
                <w:szCs w:val="20"/>
              </w:rPr>
              <w:t xml:space="preserve">#</w:t>
            </w:r>
          </w:p>
        </w:tc>
        <w:tc>
          <w:tcPr>
            <w:tcBorders>
              <w:top w:val="single" w:color="CCCCCC" w:sz="1"/>
              <w:left w:val="single" w:color="CCCCCC" w:sz="1"/>
              <w:bottom w:val="single" w:color="CCCCCC" w:sz="1"/>
              <w:right w:val="single" w:color="CCCCCC" w:sz="1"/>
            </w:tcBorders>
            <w:shd w:val="clear" w:color="auto" w:fill="1A5276"/>
            <w:tcMar>
              <w:top w:w="80" w:type="dxa"/>
              <w:left w:w="120" w:type="dxa"/>
              <w:bottom w:w="80" w:type="dxa"/>
              <w:right w:w="120" w:type="dxa"/>
            </w:tcMar>
          </w:tcPr>
          <w:p w14:paraId="553F2FC8" wp14:textId="77777777">
            <w:r>
              <w:rPr>
                <w:rFonts w:ascii="Arial" w:hAnsi="Arial" w:eastAsia="Arial" w:cs="Arial"/>
                <w:b/>
                <w:bCs/>
                <w:color w:val="FFFFFF"/>
                <w:sz w:val="20"/>
                <w:szCs w:val="20"/>
              </w:rPr>
              <w:t xml:space="preserve">Timeline</w:t>
            </w:r>
          </w:p>
        </w:tc>
        <w:tc>
          <w:tcPr>
            <w:tcBorders>
              <w:top w:val="single" w:color="CCCCCC" w:sz="1"/>
              <w:left w:val="single" w:color="CCCCCC" w:sz="1"/>
              <w:bottom w:val="single" w:color="CCCCCC" w:sz="1"/>
              <w:right w:val="single" w:color="CCCCCC" w:sz="1"/>
            </w:tcBorders>
            <w:shd w:val="clear" w:color="auto" w:fill="1A5276"/>
            <w:tcMar>
              <w:top w:w="80" w:type="dxa"/>
              <w:left w:w="120" w:type="dxa"/>
              <w:bottom w:w="80" w:type="dxa"/>
              <w:right w:w="120" w:type="dxa"/>
            </w:tcMar>
          </w:tcPr>
          <w:p w14:paraId="5CE446E2" wp14:textId="77777777">
            <w:r>
              <w:rPr>
                <w:rFonts w:ascii="Arial" w:hAnsi="Arial" w:eastAsia="Arial" w:cs="Arial"/>
                <w:b/>
                <w:bCs/>
                <w:color w:val="FFFFFF"/>
                <w:sz w:val="20"/>
                <w:szCs w:val="20"/>
              </w:rPr>
              <w:t xml:space="preserve">Action</w:t>
            </w:r>
          </w:p>
        </w:tc>
        <w:tc>
          <w:tcPr>
            <w:tcBorders>
              <w:top w:val="single" w:color="CCCCCC" w:sz="1"/>
              <w:left w:val="single" w:color="CCCCCC" w:sz="1"/>
              <w:bottom w:val="single" w:color="CCCCCC" w:sz="1"/>
              <w:right w:val="single" w:color="CCCCCC" w:sz="1"/>
            </w:tcBorders>
            <w:shd w:val="clear" w:color="auto" w:fill="1A5276"/>
            <w:tcMar>
              <w:top w:w="80" w:type="dxa"/>
              <w:left w:w="120" w:type="dxa"/>
              <w:bottom w:w="80" w:type="dxa"/>
              <w:right w:w="120" w:type="dxa"/>
            </w:tcMar>
          </w:tcPr>
          <w:p w14:paraId="3C39D6EF" wp14:textId="77777777">
            <w:r>
              <w:rPr>
                <w:rFonts w:ascii="Arial" w:hAnsi="Arial" w:eastAsia="Arial" w:cs="Arial"/>
                <w:b/>
                <w:bCs/>
                <w:color w:val="FFFFFF"/>
                <w:sz w:val="20"/>
                <w:szCs w:val="20"/>
              </w:rPr>
              <w:t xml:space="preserve">Detail</w:t>
            </w:r>
          </w:p>
        </w:tc>
      </w:tr>
      <w:tr xmlns:wp14="http://schemas.microsoft.com/office/word/2010/wordml" w:rsidTr="763AA2EB" w14:paraId="635BA9D0" wp14:textId="77777777">
        <w:tc>
          <w:tcPr>
            <w:tcW w:w="360" w:type="dxa"/>
            <w:tcBorders>
              <w:top w:val="single" w:color="CCCCCC" w:sz="1"/>
              <w:left w:val="single" w:color="CCCCCC" w:sz="1"/>
              <w:bottom w:val="single" w:color="CCCCCC" w:sz="1"/>
              <w:right w:val="single" w:color="CCCCCC" w:sz="1"/>
            </w:tcBorders>
            <w:shd w:val="clear" w:color="auto" w:fill="EAF2FF"/>
            <w:tcMar>
              <w:top w:w="80" w:type="dxa"/>
              <w:left w:w="120" w:type="dxa"/>
              <w:bottom w:w="80" w:type="dxa"/>
              <w:right w:w="120" w:type="dxa"/>
            </w:tcMar>
            <w:vAlign w:val="center"/>
          </w:tcPr>
          <w:p w14:paraId="649841BE" wp14:textId="77777777">
            <w:pPr>
              <w:jc w:val="center"/>
            </w:pPr>
            <w:r>
              <w:rPr>
                <w:rFonts w:ascii="Arial" w:hAnsi="Arial" w:eastAsia="Arial" w:cs="Arial"/>
                <w:b/>
                <w:bCs/>
                <w:color w:val="1A5276"/>
                <w:sz w:val="22"/>
                <w:szCs w:val="22"/>
              </w:rPr>
              <w:t xml:space="preserve">1</w:t>
            </w:r>
          </w:p>
        </w:tc>
        <w:tc>
          <w:tcPr>
            <w:tcW w:w="1440" w:type="dxa"/>
            <w:tcBorders>
              <w:top w:val="single" w:color="CCCCCC" w:sz="1"/>
              <w:left w:val="single" w:color="CCCCCC" w:sz="1"/>
              <w:bottom w:val="single" w:color="CCCCCC" w:sz="1"/>
              <w:right w:val="single" w:color="CCCCCC" w:sz="1"/>
            </w:tcBorders>
            <w:shd w:val="clear" w:color="auto" w:fill="EAF2FF"/>
            <w:tcMar>
              <w:top w:w="80" w:type="dxa"/>
              <w:left w:w="120" w:type="dxa"/>
              <w:bottom w:w="80" w:type="dxa"/>
              <w:right w:w="120" w:type="dxa"/>
            </w:tcMar>
          </w:tcPr>
          <w:p w14:paraId="1B31ADA7" wp14:textId="77777777">
            <w:r>
              <w:rPr>
                <w:rFonts w:ascii="Arial" w:hAnsi="Arial" w:eastAsia="Arial" w:cs="Arial"/>
                <w:b/>
                <w:bCs/>
                <w:color w:val="1A1A2E"/>
                <w:sz w:val="20"/>
                <w:szCs w:val="20"/>
              </w:rPr>
              <w:t xml:space="preserve">Immediate</w:t>
            </w:r>
          </w:p>
        </w:tc>
        <w:tc>
          <w:tcPr>
            <w:tcW w:w="1800" w:type="dxa"/>
            <w:tcBorders>
              <w:top w:val="single" w:color="CCCCCC" w:sz="1"/>
              <w:left w:val="single" w:color="CCCCCC" w:sz="1"/>
              <w:bottom w:val="single" w:color="CCCCCC" w:sz="1"/>
              <w:right w:val="single" w:color="CCCCCC" w:sz="1"/>
            </w:tcBorders>
            <w:shd w:val="clear" w:color="auto" w:fill="EAF2FF"/>
            <w:tcMar>
              <w:top w:w="80" w:type="dxa"/>
              <w:left w:w="120" w:type="dxa"/>
              <w:bottom w:w="80" w:type="dxa"/>
              <w:right w:w="120" w:type="dxa"/>
            </w:tcMar>
          </w:tcPr>
          <w:p w14:paraId="3C8C5D10" wp14:textId="77777777">
            <w:r>
              <w:rPr>
                <w:rFonts w:ascii="Arial" w:hAnsi="Arial" w:eastAsia="Arial" w:cs="Arial"/>
                <w:b/>
                <w:bCs/>
                <w:sz w:val="20"/>
                <w:szCs w:val="20"/>
              </w:rPr>
              <w:t xml:space="preserve">Salary Benchmarking</w:t>
            </w:r>
          </w:p>
        </w:tc>
        <w:tc>
          <w:tcPr>
            <w:tcW w:w="5760" w:type="dxa"/>
            <w:tcBorders>
              <w:top w:val="single" w:color="CCCCCC" w:sz="1"/>
              <w:left w:val="single" w:color="CCCCCC" w:sz="1"/>
              <w:bottom w:val="single" w:color="CCCCCC" w:sz="1"/>
              <w:right w:val="single" w:color="CCCCCC" w:sz="1"/>
            </w:tcBorders>
            <w:shd w:val="clear" w:color="auto" w:fill="EAF2FF"/>
            <w:tcMar>
              <w:top w:w="80" w:type="dxa"/>
              <w:left w:w="120" w:type="dxa"/>
              <w:bottom w:w="80" w:type="dxa"/>
              <w:right w:w="120" w:type="dxa"/>
            </w:tcMar>
          </w:tcPr>
          <w:p w14:paraId="583B8853" wp14:textId="77777777">
            <w:r>
              <w:rPr>
                <w:rFonts w:ascii="Arial" w:hAnsi="Arial" w:eastAsia="Arial" w:cs="Arial"/>
                <w:sz w:val="20"/>
                <w:szCs w:val="20"/>
              </w:rPr>
              <w:t xml:space="preserve">Review and revise compensation for Laboratory Technicians and Sales Executives against market rates. Introduce structured salary increments at 6-month and 12-month milestones.</w:t>
            </w:r>
          </w:p>
        </w:tc>
      </w:tr>
      <w:tr xmlns:wp14="http://schemas.microsoft.com/office/word/2010/wordml" w:rsidTr="763AA2EB" w14:paraId="1B84C139" wp14:textId="77777777">
        <w:tc>
          <w:tcPr>
            <w:tcW w:w="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8F999B5" wp14:textId="77777777">
            <w:pPr>
              <w:jc w:val="center"/>
            </w:pPr>
            <w:r>
              <w:rPr>
                <w:rFonts w:ascii="Arial" w:hAnsi="Arial" w:eastAsia="Arial" w:cs="Arial"/>
                <w:b/>
                <w:bCs/>
                <w:color w:val="1A5276"/>
                <w:sz w:val="22"/>
                <w:szCs w:val="22"/>
              </w:rPr>
              <w:t xml:space="preserve">2</w:t>
            </w:r>
          </w:p>
        </w:tc>
        <w:tc>
          <w:tcPr>
            <w:tcW w:w="1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DD94D2A" wp14:textId="77777777">
            <w:r>
              <w:rPr>
                <w:rFonts w:ascii="Arial" w:hAnsi="Arial" w:eastAsia="Arial" w:cs="Arial"/>
                <w:b/>
                <w:bCs/>
                <w:color w:val="1A1A2E"/>
                <w:sz w:val="20"/>
                <w:szCs w:val="20"/>
              </w:rPr>
              <w:t xml:space="preserve">Short Term</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47440E6" wp14:textId="77777777">
            <w:r>
              <w:rPr>
                <w:rFonts w:ascii="Arial" w:hAnsi="Arial" w:eastAsia="Arial" w:cs="Arial"/>
                <w:b/>
                <w:bCs/>
                <w:sz w:val="20"/>
                <w:szCs w:val="20"/>
              </w:rPr>
              <w:t xml:space="preserve">Early Engagement Program</w:t>
            </w:r>
          </w:p>
        </w:tc>
        <w:tc>
          <w:tcPr>
            <w:tcW w:w="5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8D936F" wp14:textId="77777777">
            <w:r>
              <w:rPr>
                <w:rFonts w:ascii="Arial" w:hAnsi="Arial" w:eastAsia="Arial" w:cs="Arial"/>
                <w:sz w:val="20"/>
                <w:szCs w:val="20"/>
              </w:rPr>
              <w:t xml:space="preserve">Since attrition peaks at Year 0-2, deploy structured onboarding, mentorship pairing, and quarterly HR check-ins within the first 12 months of employment.</w:t>
            </w:r>
          </w:p>
        </w:tc>
      </w:tr>
      <w:tr xmlns:wp14="http://schemas.microsoft.com/office/word/2010/wordml" w:rsidTr="763AA2EB" w14:paraId="17BDCB75" wp14:textId="77777777">
        <w:tc>
          <w:tcPr>
            <w:tcW w:w="360" w:type="dxa"/>
            <w:tcBorders>
              <w:top w:val="single" w:color="CCCCCC" w:sz="1"/>
              <w:left w:val="single" w:color="CCCCCC" w:sz="1"/>
              <w:bottom w:val="single" w:color="CCCCCC" w:sz="1"/>
              <w:right w:val="single" w:color="CCCCCC" w:sz="1"/>
            </w:tcBorders>
            <w:shd w:val="clear" w:color="auto" w:fill="EAF2FF"/>
            <w:tcMar>
              <w:top w:w="80" w:type="dxa"/>
              <w:left w:w="120" w:type="dxa"/>
              <w:bottom w:w="80" w:type="dxa"/>
              <w:right w:w="120" w:type="dxa"/>
            </w:tcMar>
            <w:vAlign w:val="center"/>
          </w:tcPr>
          <w:p w14:paraId="5FCD5EC4" wp14:textId="77777777">
            <w:pPr>
              <w:jc w:val="center"/>
            </w:pPr>
            <w:r>
              <w:rPr>
                <w:rFonts w:ascii="Arial" w:hAnsi="Arial" w:eastAsia="Arial" w:cs="Arial"/>
                <w:b/>
                <w:bCs/>
                <w:color w:val="1A5276"/>
                <w:sz w:val="22"/>
                <w:szCs w:val="22"/>
              </w:rPr>
              <w:t xml:space="preserve">3</w:t>
            </w:r>
          </w:p>
        </w:tc>
        <w:tc>
          <w:tcPr>
            <w:tcW w:w="1440" w:type="dxa"/>
            <w:tcBorders>
              <w:top w:val="single" w:color="CCCCCC" w:sz="1"/>
              <w:left w:val="single" w:color="CCCCCC" w:sz="1"/>
              <w:bottom w:val="single" w:color="CCCCCC" w:sz="1"/>
              <w:right w:val="single" w:color="CCCCCC" w:sz="1"/>
            </w:tcBorders>
            <w:shd w:val="clear" w:color="auto" w:fill="EAF2FF"/>
            <w:tcMar>
              <w:top w:w="80" w:type="dxa"/>
              <w:left w:w="120" w:type="dxa"/>
              <w:bottom w:w="80" w:type="dxa"/>
              <w:right w:w="120" w:type="dxa"/>
            </w:tcMar>
          </w:tcPr>
          <w:p w14:paraId="00376A54" wp14:textId="77777777">
            <w:r>
              <w:rPr>
                <w:rFonts w:ascii="Arial" w:hAnsi="Arial" w:eastAsia="Arial" w:cs="Arial"/>
                <w:b/>
                <w:bCs/>
                <w:color w:val="1A1A2E"/>
                <w:sz w:val="20"/>
                <w:szCs w:val="20"/>
              </w:rPr>
              <w:t xml:space="preserve">Short Term</w:t>
            </w:r>
          </w:p>
        </w:tc>
        <w:tc>
          <w:tcPr>
            <w:tcW w:w="1800" w:type="dxa"/>
            <w:tcBorders>
              <w:top w:val="single" w:color="CCCCCC" w:sz="1"/>
              <w:left w:val="single" w:color="CCCCCC" w:sz="1"/>
              <w:bottom w:val="single" w:color="CCCCCC" w:sz="1"/>
              <w:right w:val="single" w:color="CCCCCC" w:sz="1"/>
            </w:tcBorders>
            <w:shd w:val="clear" w:color="auto" w:fill="EAF2FF"/>
            <w:tcMar>
              <w:top w:w="80" w:type="dxa"/>
              <w:left w:w="120" w:type="dxa"/>
              <w:bottom w:w="80" w:type="dxa"/>
              <w:right w:w="120" w:type="dxa"/>
            </w:tcMar>
          </w:tcPr>
          <w:p w14:paraId="3628C647" wp14:textId="77777777">
            <w:r>
              <w:rPr>
                <w:rFonts w:ascii="Arial" w:hAnsi="Arial" w:eastAsia="Arial" w:cs="Arial"/>
                <w:b/>
                <w:bCs/>
                <w:sz w:val="20"/>
                <w:szCs w:val="20"/>
              </w:rPr>
              <w:t xml:space="preserve">Benefits &amp; Bonuses</w:t>
            </w:r>
          </w:p>
        </w:tc>
        <w:tc>
          <w:tcPr>
            <w:tcW w:w="5760" w:type="dxa"/>
            <w:tcBorders>
              <w:top w:val="single" w:color="CCCCCC" w:sz="1"/>
              <w:left w:val="single" w:color="CCCCCC" w:sz="1"/>
              <w:bottom w:val="single" w:color="CCCCCC" w:sz="1"/>
              <w:right w:val="single" w:color="CCCCCC" w:sz="1"/>
            </w:tcBorders>
            <w:shd w:val="clear" w:color="auto" w:fill="EAF2FF"/>
            <w:tcMar>
              <w:top w:w="80" w:type="dxa"/>
              <w:left w:w="120" w:type="dxa"/>
              <w:bottom w:w="80" w:type="dxa"/>
              <w:right w:w="120" w:type="dxa"/>
            </w:tcMar>
          </w:tcPr>
          <w:p w14:paraId="29ED0A87" wp14:textId="77777777">
            <w:r>
              <w:rPr>
                <w:rFonts w:ascii="Arial" w:hAnsi="Arial" w:eastAsia="Arial" w:cs="Arial"/>
                <w:sz w:val="20"/>
                <w:szCs w:val="20"/>
              </w:rPr>
              <w:t xml:space="preserve">Introduce health insurance, performance bonuses, and learning &amp; development allowances targeted at employees earning below $5K — directly addressing compensation dissatisfaction.</w:t>
            </w:r>
          </w:p>
        </w:tc>
      </w:tr>
      <w:tr xmlns:wp14="http://schemas.microsoft.com/office/word/2010/wordml" w:rsidTr="763AA2EB" w14:paraId="50F527BF" wp14:textId="77777777">
        <w:tc>
          <w:tcPr>
            <w:tcW w:w="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598DEE6" wp14:textId="77777777">
            <w:pPr>
              <w:jc w:val="center"/>
            </w:pPr>
            <w:r>
              <w:rPr>
                <w:rFonts w:ascii="Arial" w:hAnsi="Arial" w:eastAsia="Arial" w:cs="Arial"/>
                <w:b/>
                <w:bCs/>
                <w:color w:val="1A5276"/>
                <w:sz w:val="22"/>
                <w:szCs w:val="22"/>
              </w:rPr>
              <w:t xml:space="preserve">4</w:t>
            </w:r>
          </w:p>
        </w:tc>
        <w:tc>
          <w:tcPr>
            <w:tcW w:w="1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D10221A" wp14:textId="77777777">
            <w:r>
              <w:rPr>
                <w:rFonts w:ascii="Arial" w:hAnsi="Arial" w:eastAsia="Arial" w:cs="Arial"/>
                <w:b/>
                <w:bCs/>
                <w:color w:val="1A1A2E"/>
                <w:sz w:val="20"/>
                <w:szCs w:val="20"/>
              </w:rPr>
              <w:t xml:space="preserve">Medium Term</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88696B3" wp14:textId="77777777">
            <w:r>
              <w:rPr>
                <w:rFonts w:ascii="Arial" w:hAnsi="Arial" w:eastAsia="Arial" w:cs="Arial"/>
                <w:b/>
                <w:bCs/>
                <w:sz w:val="20"/>
                <w:szCs w:val="20"/>
              </w:rPr>
              <w:t xml:space="preserve">Career Growth Roadmap</w:t>
            </w:r>
          </w:p>
        </w:tc>
        <w:tc>
          <w:tcPr>
            <w:tcW w:w="5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965F7EB" wp14:textId="77777777">
            <w:r w:rsidRPr="763AA2EB" w:rsidR="763AA2EB">
              <w:rPr>
                <w:rFonts w:ascii="Arial" w:hAnsi="Arial" w:eastAsia="Arial" w:cs="Arial"/>
                <w:sz w:val="20"/>
                <w:szCs w:val="20"/>
                <w:lang w:val="en-GB"/>
              </w:rPr>
              <w:t>Create visible promotion pathways for Lab Technicians and Sales Executives. Employees in the 26-35 bracket leave when growth feels stagnant — a clear ladder retains them.</w:t>
            </w:r>
          </w:p>
        </w:tc>
      </w:tr>
      <w:tr xmlns:wp14="http://schemas.microsoft.com/office/word/2010/wordml" w:rsidTr="763AA2EB" w14:paraId="7F3EAD3D" wp14:textId="77777777">
        <w:tc>
          <w:tcPr>
            <w:tcW w:w="360" w:type="dxa"/>
            <w:tcBorders>
              <w:top w:val="single" w:color="CCCCCC" w:sz="1"/>
              <w:left w:val="single" w:color="CCCCCC" w:sz="1"/>
              <w:bottom w:val="single" w:color="CCCCCC" w:sz="1"/>
              <w:right w:val="single" w:color="CCCCCC" w:sz="1"/>
            </w:tcBorders>
            <w:shd w:val="clear" w:color="auto" w:fill="EAF2FF"/>
            <w:tcMar>
              <w:top w:w="80" w:type="dxa"/>
              <w:left w:w="120" w:type="dxa"/>
              <w:bottom w:w="80" w:type="dxa"/>
              <w:right w:w="120" w:type="dxa"/>
            </w:tcMar>
            <w:vAlign w:val="center"/>
          </w:tcPr>
          <w:p w14:paraId="78941E47" wp14:textId="77777777">
            <w:pPr>
              <w:jc w:val="center"/>
            </w:pPr>
            <w:r>
              <w:rPr>
                <w:rFonts w:ascii="Arial" w:hAnsi="Arial" w:eastAsia="Arial" w:cs="Arial"/>
                <w:b/>
                <w:bCs/>
                <w:color w:val="1A5276"/>
                <w:sz w:val="22"/>
                <w:szCs w:val="22"/>
              </w:rPr>
              <w:t xml:space="preserve">5</w:t>
            </w:r>
          </w:p>
        </w:tc>
        <w:tc>
          <w:tcPr>
            <w:tcW w:w="1440" w:type="dxa"/>
            <w:tcBorders>
              <w:top w:val="single" w:color="CCCCCC" w:sz="1"/>
              <w:left w:val="single" w:color="CCCCCC" w:sz="1"/>
              <w:bottom w:val="single" w:color="CCCCCC" w:sz="1"/>
              <w:right w:val="single" w:color="CCCCCC" w:sz="1"/>
            </w:tcBorders>
            <w:shd w:val="clear" w:color="auto" w:fill="EAF2FF"/>
            <w:tcMar>
              <w:top w:w="80" w:type="dxa"/>
              <w:left w:w="120" w:type="dxa"/>
              <w:bottom w:w="80" w:type="dxa"/>
              <w:right w:w="120" w:type="dxa"/>
            </w:tcMar>
          </w:tcPr>
          <w:p w14:paraId="2F628AB8" wp14:textId="77777777">
            <w:r>
              <w:rPr>
                <w:rFonts w:ascii="Arial" w:hAnsi="Arial" w:eastAsia="Arial" w:cs="Arial"/>
                <w:b/>
                <w:bCs/>
                <w:color w:val="1A1A2E"/>
                <w:sz w:val="20"/>
                <w:szCs w:val="20"/>
              </w:rPr>
              <w:t xml:space="preserve">Medium Term</w:t>
            </w:r>
          </w:p>
        </w:tc>
        <w:tc>
          <w:tcPr>
            <w:tcW w:w="1800" w:type="dxa"/>
            <w:tcBorders>
              <w:top w:val="single" w:color="CCCCCC" w:sz="1"/>
              <w:left w:val="single" w:color="CCCCCC" w:sz="1"/>
              <w:bottom w:val="single" w:color="CCCCCC" w:sz="1"/>
              <w:right w:val="single" w:color="CCCCCC" w:sz="1"/>
            </w:tcBorders>
            <w:shd w:val="clear" w:color="auto" w:fill="EAF2FF"/>
            <w:tcMar>
              <w:top w:w="80" w:type="dxa"/>
              <w:left w:w="120" w:type="dxa"/>
              <w:bottom w:w="80" w:type="dxa"/>
              <w:right w:w="120" w:type="dxa"/>
            </w:tcMar>
          </w:tcPr>
          <w:p w14:paraId="6E275E88" wp14:textId="77777777">
            <w:r>
              <w:rPr>
                <w:rFonts w:ascii="Arial" w:hAnsi="Arial" w:eastAsia="Arial" w:cs="Arial"/>
                <w:b/>
                <w:bCs/>
                <w:sz w:val="20"/>
                <w:szCs w:val="20"/>
              </w:rPr>
              <w:t xml:space="preserve">Role-Specific Retention Plans</w:t>
            </w:r>
          </w:p>
        </w:tc>
        <w:tc>
          <w:tcPr>
            <w:tcW w:w="5760" w:type="dxa"/>
            <w:tcBorders>
              <w:top w:val="single" w:color="CCCCCC" w:sz="1"/>
              <w:left w:val="single" w:color="CCCCCC" w:sz="1"/>
              <w:bottom w:val="single" w:color="CCCCCC" w:sz="1"/>
              <w:right w:val="single" w:color="CCCCCC" w:sz="1"/>
            </w:tcBorders>
            <w:shd w:val="clear" w:color="auto" w:fill="EAF2FF"/>
            <w:tcMar>
              <w:top w:w="80" w:type="dxa"/>
              <w:left w:w="120" w:type="dxa"/>
              <w:bottom w:w="80" w:type="dxa"/>
              <w:right w:w="120" w:type="dxa"/>
            </w:tcMar>
          </w:tcPr>
          <w:p w14:paraId="5FEF8AE1" wp14:textId="77777777">
            <w:r>
              <w:rPr>
                <w:rFonts w:ascii="Arial" w:hAnsi="Arial" w:eastAsia="Arial" w:cs="Arial"/>
                <w:sz w:val="20"/>
                <w:szCs w:val="20"/>
              </w:rPr>
              <w:t xml:space="preserve">Design targeted retention strategies for the top 3 high-attrition roles: Laboratory Technician, Sales Executive, and Research Scientist — each with tailored incentives.</w:t>
            </w:r>
          </w:p>
        </w:tc>
      </w:tr>
    </w:tbl>
    <w:p xmlns:wp14="http://schemas.microsoft.com/office/word/2010/wordml" w14:paraId="1FC39945" wp14:textId="77777777">
      <w:pPr>
        <w:spacing w:before="80" w:after="80"/>
      </w:pPr>
      <w:r/>
    </w:p>
    <w:p xmlns:wp14="http://schemas.microsoft.com/office/word/2010/wordml" w14:paraId="03688B29" wp14:textId="77777777">
      <w:pPr>
        <w:pStyle w:val="Heading1"/>
        <w:pBdr>
          <w:bottom w:val="single" w:color="1A5276" w:sz="8" w:space="4"/>
        </w:pBdr>
        <w:spacing w:before="320" w:after="160"/>
      </w:pPr>
      <w:r>
        <w:rPr>
          <w:rFonts w:ascii="Arial" w:hAnsi="Arial" w:eastAsia="Arial" w:cs="Arial"/>
          <w:b/>
          <w:bCs/>
          <w:color w:val="1A1A2E"/>
          <w:sz w:val="32"/>
          <w:szCs w:val="32"/>
        </w:rPr>
        <w:t xml:space="preserve">6. Data Limitations</w:t>
      </w:r>
    </w:p>
    <w:p xmlns:wp14="http://schemas.microsoft.com/office/word/2010/wordml" w14:paraId="3DE36E7D" wp14:textId="77777777">
      <w:pPr>
        <w:pStyle w:val="ListParagraph"/>
        <w:numPr>
          <w:ilvl w:val="0"/>
          <w:numId w:val="2"/>
        </w:numPr>
        <w:spacing w:before="60" w:after="60"/>
      </w:pPr>
      <w:r>
        <w:rPr>
          <w:rFonts w:ascii="Arial" w:hAnsi="Arial" w:eastAsia="Arial" w:cs="Arial"/>
          <w:b w:val="false"/>
          <w:bCs w:val="false"/>
          <w:sz w:val="22"/>
          <w:szCs w:val="22"/>
        </w:rPr>
        <w:t xml:space="preserve">Headcount per salary slab is unavailable, preventing attrition rate calculation per band</w:t>
      </w:r>
    </w:p>
    <w:p xmlns:wp14="http://schemas.microsoft.com/office/word/2010/wordml" w14:paraId="4668316A" wp14:textId="77777777">
      <w:pPr>
        <w:pStyle w:val="ListParagraph"/>
        <w:numPr>
          <w:ilvl w:val="0"/>
          <w:numId w:val="2"/>
        </w:numPr>
        <w:spacing w:before="60" w:after="60"/>
      </w:pPr>
      <w:r>
        <w:rPr>
          <w:rFonts w:ascii="Arial" w:hAnsi="Arial" w:eastAsia="Arial" w:cs="Arial"/>
          <w:b w:val="false"/>
          <w:bCs w:val="false"/>
          <w:sz w:val="22"/>
          <w:szCs w:val="22"/>
        </w:rPr>
        <w:t xml:space="preserve">Gender-wise total headcount is not provided, limiting gender attrition rate analysis</w:t>
      </w:r>
    </w:p>
    <w:p xmlns:wp14="http://schemas.microsoft.com/office/word/2010/wordml" w14:paraId="732C012D" wp14:textId="77777777">
      <w:pPr>
        <w:pStyle w:val="ListParagraph"/>
        <w:numPr>
          <w:ilvl w:val="0"/>
          <w:numId w:val="2"/>
        </w:numPr>
        <w:spacing w:before="60" w:after="60"/>
      </w:pPr>
      <w:r>
        <w:rPr>
          <w:rFonts w:ascii="Arial" w:hAnsi="Arial" w:eastAsia="Arial" w:cs="Arial"/>
          <w:b w:val="false"/>
          <w:bCs w:val="false"/>
          <w:sz w:val="22"/>
          <w:szCs w:val="22"/>
        </w:rPr>
        <w:t xml:space="preserve">Department-level breakdown is not granular enough to identify sub-team risks</w:t>
      </w:r>
    </w:p>
    <w:p xmlns:wp14="http://schemas.microsoft.com/office/word/2010/wordml" w14:paraId="61036EB5" wp14:textId="77777777">
      <w:pPr>
        <w:pStyle w:val="ListParagraph"/>
        <w:numPr>
          <w:ilvl w:val="0"/>
          <w:numId w:val="2"/>
        </w:numPr>
        <w:spacing w:before="60" w:after="60"/>
      </w:pPr>
      <w:r>
        <w:rPr>
          <w:rFonts w:ascii="Arial" w:hAnsi="Arial" w:eastAsia="Arial" w:cs="Arial"/>
          <w:b w:val="false"/>
          <w:bCs w:val="false"/>
          <w:sz w:val="22"/>
          <w:szCs w:val="22"/>
        </w:rPr>
        <w:t xml:space="preserve">Exit interview data or employee satisfaction scores are absent — root causes are inferred, not confirmed</w:t>
      </w:r>
    </w:p>
    <w:p xmlns:wp14="http://schemas.microsoft.com/office/word/2010/wordml" w14:paraId="430489BE" wp14:textId="77777777">
      <w:pPr>
        <w:pStyle w:val="ListParagraph"/>
        <w:numPr>
          <w:ilvl w:val="0"/>
          <w:numId w:val="2"/>
        </w:numPr>
        <w:spacing w:before="60" w:after="60"/>
      </w:pPr>
      <w:r>
        <w:rPr>
          <w:rFonts w:ascii="Arial" w:hAnsi="Arial" w:eastAsia="Arial" w:cs="Arial"/>
          <w:b w:val="false"/>
          <w:bCs w:val="false"/>
          <w:sz w:val="22"/>
          <w:szCs w:val="22"/>
        </w:rPr>
        <w:t xml:space="preserve">The dataset represents a single point in time; longitudinal trends are not visible</w:t>
      </w:r>
    </w:p>
    <w:p xmlns:wp14="http://schemas.microsoft.com/office/word/2010/wordml" w14:paraId="0562CB0E" wp14:textId="77777777">
      <w:pPr>
        <w:spacing w:before="80" w:after="80"/>
      </w:pPr>
      <w:r/>
    </w:p>
    <w:p xmlns:wp14="http://schemas.microsoft.com/office/word/2010/wordml" w14:paraId="16A1F5A8" wp14:textId="77777777">
      <w:pPr>
        <w:pStyle w:val="Heading1"/>
        <w:pBdr>
          <w:bottom w:val="single" w:color="1A5276" w:sz="8" w:space="4"/>
        </w:pBdr>
        <w:spacing w:before="320" w:after="160"/>
      </w:pPr>
      <w:r>
        <w:rPr>
          <w:rFonts w:ascii="Arial" w:hAnsi="Arial" w:eastAsia="Arial" w:cs="Arial"/>
          <w:b/>
          <w:bCs/>
          <w:color w:val="1A1A2E"/>
          <w:sz w:val="32"/>
          <w:szCs w:val="32"/>
        </w:rPr>
        <w:t xml:space="preserve">7. Conclusion</w:t>
      </w:r>
    </w:p>
    <w:p xmlns:wp14="http://schemas.microsoft.com/office/word/2010/wordml" w14:paraId="359BACBE" wp14:textId="77777777">
      <w:pPr>
        <w:shd w:val="clear" w:fill="EAF2FF"/>
        <w:spacing w:before="120" w:after="160"/>
        <w:ind w:left="360" w:right="360"/>
      </w:pPr>
      <w:r>
        <w:rPr>
          <w:rFonts w:ascii="Arial" w:hAnsi="Arial" w:eastAsia="Arial" w:cs="Arial"/>
          <w:i/>
          <w:iCs/>
          <w:color w:val="1A1A2E"/>
          <w:sz w:val="22"/>
          <w:szCs w:val="22"/>
        </w:rPr>
        <w:t xml:space="preserve">"Attrition at this organization is not random — it is concentrated, predictable, and therefore preventable. With targeted interventions focused on compensation, early tenure engagement, and career growth visibility for Laboratory Technicians and Sales Executives, the organization can meaningfully reduce attrition and protect its talent pipeline."</w:t>
      </w:r>
    </w:p>
    <w:p xmlns:wp14="http://schemas.microsoft.com/office/word/2010/wordml" w14:paraId="34CE0A41" wp14:textId="77777777">
      <w:pPr>
        <w:spacing w:before="80" w:after="80"/>
      </w:pPr>
      <w:r/>
    </w:p>
    <w:p xmlns:wp14="http://schemas.microsoft.com/office/word/2010/wordml" w14:paraId="07119E9E" wp14:textId="77777777">
      <w:pPr>
        <w:spacing w:before="80" w:after="80"/>
      </w:pPr>
      <w:r>
        <w:rPr>
          <w:rFonts w:ascii="Arial" w:hAnsi="Arial" w:eastAsia="Arial" w:cs="Arial"/>
          <w:sz w:val="22"/>
          <w:szCs w:val="22"/>
        </w:rPr>
        <w:t xml:space="preserve">The HR Analytics Dashboard has successfully surfaced a clear narrative: the organization's attrition problem is driven by a specific, identifiable cohort. By acting on the five recommendations outlined above — starting with salary benchmarking and early engagement programs — HR leadership can expect a measurable reduction in attrition within 6-12 months.</w:t>
      </w:r>
    </w:p>
    <w:p xmlns:wp14="http://schemas.microsoft.com/office/word/2010/wordml" w14:paraId="62EBF3C5" wp14:textId="77777777">
      <w:pPr>
        <w:spacing w:before="80" w:after="80"/>
      </w:pPr>
      <w:r/>
    </w:p>
    <w:p xmlns:wp14="http://schemas.microsoft.com/office/word/2010/wordml" w14:paraId="5BFC9086" wp14:textId="77777777">
      <w:pPr>
        <w:spacing w:before="80" w:after="80"/>
      </w:pPr>
      <w:r>
        <w:rPr>
          <w:rFonts w:ascii="Arial" w:hAnsi="Arial" w:eastAsia="Arial" w:cs="Arial"/>
          <w:sz w:val="22"/>
          <w:szCs w:val="22"/>
        </w:rPr>
        <w:t xml:space="preserve">This analysis demonstrates that data-driven HR decision-making is not just possible with existing data — it is essential.</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33d83d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f5bd1fd"/>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2158593"/>
  <w15:docId w15:val="{EBAD779C-2708-4F3B-B94F-B72CD7B8B0A3}"/>
  <w:rsids>
    <w:rsidRoot w:val="1F5E648B"/>
    <w:rsid w:val="1F5E648B"/>
    <w:rsid w:val="763AA2E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Arial" w:hAnsi="Arial" w:eastAsia="Arial" w:cs="Arial"/>
      <w:b/>
      <w:bCs/>
      <w:color w:val="1A1A2E"/>
      <w:sz w:val="32"/>
      <w:szCs w:val="32"/>
    </w:rPr>
  </w:style>
  <w:style w:type="paragraph" w:styleId="Heading2">
    <w:name w:val="heading 20"/>
    <w:basedOn w:val="Normal"/>
    <w:next w:val="Normal"/>
    <w:qFormat/>
    <w:pPr>
      <w:spacing w:before="240" w:after="120"/>
      <w:outlineLvl w:val="1"/>
    </w:pPr>
    <w:rPr>
      <w:rFonts w:ascii="Arial" w:hAnsi="Arial" w:eastAsia="Arial" w:cs="Arial"/>
      <w:b/>
      <w:bCs/>
      <w:color w:val="1A5276"/>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Zayed Aseem</lastModifiedBy>
  <revision>2</revision>
  <dcterms:created xsi:type="dcterms:W3CDTF">2026-06-22T11:57:28.9900000Z</dcterms:created>
  <dcterms:modified xsi:type="dcterms:W3CDTF">2026-06-22T14:00:17.9218338Z</dcterms:modified>
</coreProperties>
</file>

<file path=docProps/custom.xml><?xml version="1.0" encoding="utf-8"?>
<Properties xmlns="http://schemas.openxmlformats.org/officeDocument/2006/custom-properties" xmlns:vt="http://schemas.openxmlformats.org/officeDocument/2006/docPropsVTypes"/>
</file>