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Display" w:hAnsi="Aptos Display"/>
          <w:b/>
          <w:color w:val="183153"/>
          <w:sz w:val="68"/>
        </w:rPr>
        <w:t>MATHEMATICS,</w:t>
        <w:br/>
        <w:t>UNDERSTOOD</w:t>
      </w:r>
    </w:p>
    <w:p>
      <w:pPr>
        <w:spacing w:before="240"/>
        <w:jc w:val="center"/>
      </w:pPr>
      <w:r>
        <w:t>PROJECT BIBLE  |  VERSION 1.3</w:t>
      </w:r>
    </w:p>
    <w:p>
      <w:pPr>
        <w:spacing w:before="160"/>
        <w:jc w:val="center"/>
      </w:pPr>
      <w:r>
        <w:t>Problem-First Learning, Teaching Frameworks,</w:t>
        <w:br/>
        <w:t>Visual Standards, and Verification Protocol</w:t>
      </w:r>
    </w:p>
    <w:p>
      <w:pPr>
        <w:spacing w:before="500" w:after="360"/>
        <w:jc w:val="center"/>
      </w:pPr>
      <w:r>
        <w:rPr>
          <w:color w:val="087E8B"/>
          <w:sz w:val="26"/>
        </w:rPr>
        <w:t>━━━━━━━━━━━━━━━━━━━━━━━━━━━━</w:t>
      </w:r>
    </w:p>
    <w:p>
      <w:pPr>
        <w:ind w:left="792" w:right="792"/>
        <w:jc w:val="center"/>
      </w:pPr>
      <w:r>
        <w:rPr>
          <w:i/>
          <w:color w:val="183153"/>
          <w:sz w:val="28"/>
        </w:rPr>
        <w:t>From intuition to symbols. From symbols to understanding.</w:t>
        <w:br/>
        <w:t>From understanding to discovery.</w:t>
      </w:r>
    </w:p>
    <w:p>
      <w:pPr>
        <w:spacing w:before="720"/>
        <w:jc w:val="center"/>
      </w:pPr>
      <w:r>
        <w:rPr>
          <w:color w:val="202B36"/>
          <w:sz w:val="22"/>
        </w:rPr>
        <w:t>A comprehensive self-study mathematics series</w:t>
        <w:br/>
        <w:t>from foundational numeracy to advanced mathematics,</w:t>
        <w:br/>
        <w:t>with connected applications in science.</w:t>
      </w:r>
    </w:p>
    <w:p>
      <w:pPr>
        <w:spacing w:before="680"/>
        <w:jc w:val="center"/>
      </w:pPr>
      <w:r>
        <w:t>GOVERNING DRAFT • VERSION 1.3 • 19 OCTOBER 2026</w:t>
      </w:r>
    </w:p>
    <w:p>
      <w:pPr>
        <w:spacing w:before="80"/>
        <w:jc w:val="center"/>
      </w:pPr>
      <w:r>
        <w:rPr>
          <w:i/>
          <w:color w:val="52667A"/>
          <w:sz w:val="17"/>
        </w:rPr>
        <w:t>Working title; subject to naming and trademark review</w:t>
      </w:r>
    </w:p>
    <w:p>
      <w:r>
        <w:br w:type="page"/>
      </w:r>
    </w:p>
    <w:p>
      <w:pPr>
        <w:pStyle w:val="Heading1"/>
      </w:pPr>
      <w:r>
        <w:t>Contents</w:t>
      </w:r>
    </w:p>
    <w:p>
      <w:pPr>
        <w:pStyle w:val="ListBullet"/>
        <w:ind w:left="346" w:hanging="173"/>
      </w:pPr>
      <w:r>
        <w:t>1. Mission and promise</w:t>
      </w:r>
    </w:p>
    <w:p>
      <w:pPr>
        <w:pStyle w:val="ListBullet"/>
        <w:ind w:left="346" w:hanging="173"/>
      </w:pPr>
      <w:r>
        <w:t>2. Audience, scope, and boundaries</w:t>
      </w:r>
    </w:p>
    <w:p>
      <w:pPr>
        <w:pStyle w:val="ListBullet"/>
        <w:ind w:left="346" w:hanging="173"/>
      </w:pPr>
      <w:r>
        <w:t>3. Non-negotiable principles</w:t>
      </w:r>
    </w:p>
    <w:p>
      <w:pPr>
        <w:pStyle w:val="ListBullet"/>
        <w:ind w:left="346" w:hanging="173"/>
      </w:pPr>
      <w:r>
        <w:t>4. The Intuition-to-Formalism Bridge (IFB)</w:t>
      </w:r>
    </w:p>
    <w:p>
      <w:pPr>
        <w:pStyle w:val="ListBullet"/>
        <w:ind w:left="346" w:hanging="173"/>
      </w:pPr>
      <w:r>
        <w:t>5. Chapter and exercise standards</w:t>
      </w:r>
    </w:p>
    <w:p>
      <w:pPr>
        <w:pStyle w:val="ListBullet"/>
        <w:ind w:left="346" w:hanging="173"/>
      </w:pPr>
      <w:r>
        <w:t>6. Curriculum architecture</w:t>
      </w:r>
    </w:p>
    <w:p>
      <w:pPr>
        <w:pStyle w:val="ListBullet"/>
        <w:ind w:left="346" w:hanging="173"/>
      </w:pPr>
      <w:r>
        <w:t>7. Science companion series</w:t>
      </w:r>
    </w:p>
    <w:p>
      <w:pPr>
        <w:pStyle w:val="ListBullet"/>
        <w:ind w:left="346" w:hanging="173"/>
      </w:pPr>
      <w:r>
        <w:t>8. Mathematical and factual integrity system</w:t>
      </w:r>
    </w:p>
    <w:p>
      <w:pPr>
        <w:pStyle w:val="ListBullet"/>
        <w:ind w:left="346" w:hanging="173"/>
      </w:pPr>
      <w:r>
        <w:t>9. Source and copyright policy</w:t>
      </w:r>
    </w:p>
    <w:p>
      <w:pPr>
        <w:pStyle w:val="ListBullet"/>
        <w:ind w:left="346" w:hanging="173"/>
      </w:pPr>
      <w:r>
        <w:t>10. Review gates and defect severity</w:t>
      </w:r>
    </w:p>
    <w:p>
      <w:pPr>
        <w:pStyle w:val="ListBullet"/>
        <w:ind w:left="346" w:hanging="173"/>
      </w:pPr>
      <w:r>
        <w:t>11. Manuscript workflow and version control</w:t>
      </w:r>
    </w:p>
    <w:p>
      <w:pPr>
        <w:pStyle w:val="ListBullet"/>
        <w:ind w:left="346" w:hanging="173"/>
      </w:pPr>
      <w:r>
        <w:t>12. Roles and decision rights</w:t>
      </w:r>
    </w:p>
    <w:p>
      <w:pPr>
        <w:pStyle w:val="ListBullet"/>
        <w:ind w:left="346" w:hanging="173"/>
      </w:pPr>
      <w:r>
        <w:t>13. Pilot plan and acceptance criteria</w:t>
      </w:r>
    </w:p>
    <w:p>
      <w:pPr>
        <w:pStyle w:val="ListBullet"/>
        <w:ind w:left="346" w:hanging="173"/>
      </w:pPr>
      <w:r>
        <w:t>14. Risks and mitigations</w:t>
      </w:r>
    </w:p>
    <w:p>
      <w:pPr>
        <w:pStyle w:val="ListBullet"/>
        <w:ind w:left="346" w:hanging="173"/>
      </w:pPr>
      <w:r>
        <w:t>15. Decisions intentionally left open</w:t>
      </w:r>
    </w:p>
    <w:p>
      <w:pPr>
        <w:pStyle w:val="ListBullet"/>
        <w:ind w:left="346" w:hanging="173"/>
      </w:pPr>
      <w:r>
        <w:t>16. First actions</w:t>
      </w:r>
    </w:p>
    <w:p>
      <w:pPr>
        <w:pStyle w:val="ListBullet"/>
        <w:ind w:left="346" w:hanging="173"/>
      </w:pPr>
      <w:r>
        <w:t>17. References</w:t>
      </w:r>
    </w:p>
    <w:p>
      <w:pPr>
        <w:pStyle w:val="ListBullet"/>
        <w:ind w:left="346" w:hanging="173"/>
      </w:pPr>
      <w:r>
        <w:t>18. Appendices and reusable templates</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How to use this document</w:t>
            </w:r>
          </w:p>
          <w:p>
            <w:pPr>
              <w:spacing w:after="20"/>
            </w:pPr>
            <w:r>
              <w:t>Treat this as the working constitution for the series. Version 1.3 adds a problem-first opening as the default design for suitable conceptual chapters, while preserving intuition, visuals, formal rigor, equation construction, proof discovery, and verification. Versions 1.0, 1.1, and 1.2 remain historical baselines. Continue to record material changes in the decision log. This is a governing draft, not a claim that this exact teaching system has already been experimentally validated.</w:t>
            </w:r>
          </w:p>
        </w:tc>
      </w:tr>
    </w:tbl>
    <w:p>
      <w:pPr>
        <w:spacing w:after="20"/>
      </w:pPr>
    </w:p>
    <w:p>
      <w:r>
        <w:br w:type="page"/>
      </w:r>
    </w:p>
    <w:p>
      <w:pPr>
        <w:pStyle w:val="Heading2"/>
      </w:pPr>
      <w:r>
        <w:t>Version 1.1 change record</w:t>
      </w:r>
    </w:p>
    <w:p>
      <w:pPr/>
      <w:r>
        <w:t>Version 1.1 makes three requirements explicit across the series: readers must learn to construct mathematical models and equations; investigate conjectures and construct or critique proofs; and learn with accurate, purposeful visual mathematics. These requirements are integrated into the principles, teaching frameworks, chapter architecture, assessment standards, pilot gates, and release checklist. Version 1.0 is retained as the historical baseline.</w:t>
      </w:r>
    </w:p>
    <w:p>
      <w:pPr>
        <w:pStyle w:val="Heading2"/>
      </w:pPr>
      <w:r>
        <w:t>Version 1.2 change record</w:t>
      </w:r>
    </w:p>
    <w:p>
      <w:pPr/>
      <w:r>
        <w:t>Version 1.2 adds an explicit goal of developing readers' visualization and representation-building abilities, not merely supplying finished pictures. Visual scaffolds will be deliberately faded when pedagogically appropriate: readers predict, annotate, complete, sketch, reconstruct, transform, and translate between representations with increasing independence. Short prompts embedded in the flow of the explanation belong beside the idea at the moment they are useful, not solely in end-of-chapter exercise lists. This policy recognizes that learners differ in mental imagery; vivid internal pictures are not a prerequisite, and external sketching, structured descriptions, and accessible alternatives remain valid routes to visual reasoning.</w:t>
      </w:r>
    </w:p>
    <w:p>
      <w:pPr>
        <w:pStyle w:val="Heading2"/>
      </w:pPr>
      <w:r>
        <w:t>Version 1.3 change record</w:t>
      </w:r>
    </w:p>
    <w:p>
      <w:pPr/>
      <w:r>
        <w:t>Version 1.3 makes a problem-first opening the default for suitable conceptual lessons. Readers encounter a specific mathematical challenge before the main intuitive explanation, then try briefly, build intuition, connect representations, learn the formal account, and compare it with their first attempts. The design includes staged hints, a clear reveal, explicit exceptions, and pilot testing. Research on problem-solving before instruction supports this as a promising approach but does not show that it is best for every learner, age, or task. Version 1.3 records that nuance rather than treating problem-first as a universal rule.</w:t>
      </w:r>
    </w:p>
    <w:p>
      <w:pPr>
        <w:pStyle w:val="Heading1"/>
      </w:pPr>
      <w:r>
        <w:t>1. Mission and promise</w:t>
      </w:r>
    </w:p>
    <w:p>
      <w:pPr>
        <w:pStyle w:val="Heading2"/>
      </w:pPr>
      <w:r>
        <w:t>1.1 Mission</w:t>
      </w:r>
    </w:p>
    <w:p>
      <w:r>
        <w:rPr>
          <w:i w:val="0"/>
        </w:rPr>
        <w:t>Create a rigorous, welcoming, self-contained mathematics education series that helps learners build usable intuition, precise formal knowledge, procedural fluency, mathematical reasoning, and the ability to apply ideas independently—regardless of their educational background.</w:t>
      </w:r>
    </w:p>
    <w:p>
      <w:r>
        <w:rPr>
          <w:i w:val="0"/>
        </w:rPr>
        <w:t>The project must teach more than how to reproduce a procedure. Learners should increasingly understand what mathematical objects represent, why relationships have the structure they do, what assumptions a method requires, how a result follows, and where that result can be used.</w:t>
      </w:r>
    </w:p>
    <w:p>
      <w:pPr>
        <w:pStyle w:val="Heading2"/>
      </w:pPr>
      <w:r>
        <w:t>1.2 Intended learner outcome</w:t>
      </w:r>
    </w:p>
    <w:p>
      <w:r>
        <w:rPr>
          <w:i w:val="0"/>
        </w:rPr>
        <w:t>After studying a concept, a learner should be able to do as many of the following as are appropriate to that concept:</w:t>
      </w:r>
    </w:p>
    <w:p>
      <w:pPr>
        <w:pStyle w:val="ListBullet"/>
        <w:ind w:left="346" w:hanging="173"/>
      </w:pPr>
      <w:r>
        <w:t>Explain the idea in their own words without relying on a memorized phrase.</w:t>
      </w:r>
    </w:p>
    <w:p>
      <w:pPr>
        <w:pStyle w:val="ListBullet"/>
        <w:ind w:left="346" w:hanging="173"/>
      </w:pPr>
      <w:r>
        <w:t>Interpret its symbols, quantities, relationships, assumptions, and units where relevant.</w:t>
      </w:r>
    </w:p>
    <w:p>
      <w:pPr>
        <w:pStyle w:val="ListBullet"/>
        <w:ind w:left="346" w:hanging="173"/>
      </w:pPr>
      <w:r>
        <w:t>Move between useful verbal, numerical, graphical, geometric, and symbolic representations, including constructing one representation from another.</w:t>
      </w:r>
    </w:p>
    <w:p>
      <w:pPr>
        <w:pStyle w:val="ListBullet"/>
      </w:pPr>
      <w:r>
        <w:t>Construct equations, inequalities, functions, diagrams, graphs, or other mathematical models from unfamiliar descriptions, stating necessary assumptions and checking the result.</w:t>
      </w:r>
    </w:p>
    <w:p>
      <w:pPr>
        <w:pStyle w:val="ListBullet"/>
        <w:ind w:left="346" w:hanging="173"/>
      </w:pPr>
      <w:r>
        <w:t>Reconstruct or justify the central rule or derivation instead of merely recalling it.</w:t>
      </w:r>
    </w:p>
    <w:p>
      <w:pPr>
        <w:pStyle w:val="ListBullet"/>
      </w:pPr>
      <w:r>
        <w:t>Form conjectures, test examples and edge cases, find counterexamples to false claims, and construct valid arguments or proofs at the level appropriate to the topic.</w:t>
      </w:r>
    </w:p>
    <w:p>
      <w:pPr>
        <w:pStyle w:val="ListBullet"/>
        <w:ind w:left="346" w:hanging="173"/>
      </w:pPr>
      <w:r>
        <w:t>Calculate accurately and select an appropriate method without being prompted with a formula.</w:t>
      </w:r>
    </w:p>
    <w:p>
      <w:pPr>
        <w:pStyle w:val="ListBullet"/>
        <w:ind w:left="346" w:hanging="173"/>
      </w:pPr>
      <w:r>
        <w:t>Identify boundary conditions, counterexamples, exceptions, or limitations.</w:t>
      </w:r>
    </w:p>
    <w:p>
      <w:pPr>
        <w:pStyle w:val="ListBullet"/>
        <w:ind w:left="346" w:hanging="173"/>
      </w:pPr>
      <w:r>
        <w:t>Apply the concept to a changed or unfamiliar problem without being told which method to use.</w:t>
      </w:r>
    </w:p>
    <w:p>
      <w:pPr>
        <w:pStyle w:val="ListBullet"/>
      </w:pPr>
      <w:r>
        <w:t>Interpret, create, annotate, and reconstruct useful visual representations; reason about how they change; and detect when a graph, diagram, or visual analogy is incomplete or misleading.</w:t>
      </w:r>
    </w:p>
    <w:p>
      <w:pPr>
        <w:pStyle w:val="ListBullet"/>
      </w:pPr>
      <w:r>
        <w:t>Build increasing independence in visual reasoning. This does not require everyone to experience vivid mental imagery: sketching, structured verbal/spatial reasoning, and accessible alternatives are legitimate tools.</w:t>
      </w:r>
    </w:p>
    <w:p>
      <w:pPr>
        <w:pStyle w:val="ListBullet"/>
        <w:ind w:left="346" w:hanging="173"/>
      </w:pPr>
      <w:r>
        <w:t>Connect it to earlier mathematics and, where relevant, to a scientific model.</w:t>
      </w:r>
    </w:p>
    <w:p>
      <w:r>
        <w:rPr>
          <w:i w:val="0"/>
        </w:rPr>
        <w:t>Not every objective applies identically to every topic. Abstract proof, for example, requires forms of reasoning that cannot always be grounded in a physical analogy. The promise is a supported path to rigor, not the elimination of all difficulty.</w:t>
      </w:r>
    </w:p>
    <w:p>
      <w:pPr>
        <w:pStyle w:val="Heading2"/>
      </w:pPr>
      <w:r>
        <w:t>1.3 The project promise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Core promise</w:t>
            </w:r>
          </w:p>
          <w:p>
            <w:pPr>
              <w:spacing w:after="20"/>
            </w:pPr>
            <w:r>
              <w:rPr>
                <w:sz w:val="18"/>
              </w:rPr>
              <w:t>Help learners read, reason with, and create mathematics—not merely manipulate mathematical symbols.</w:t>
            </w:r>
          </w:p>
        </w:tc>
      </w:tr>
    </w:tbl>
    <w:p>
      <w:pPr>
        <w:spacing w:after="20"/>
      </w:pPr>
    </w:p>
    <w:p>
      <w:r>
        <w:rPr>
          <w:i w:val="0"/>
        </w:rPr>
        <w:t>The project does not claim that mathematics is literally a natural language, that every formula has a simple everyday translation, or that a single teaching method has already been proven superior across all ages and branches of mathematics. Those are claims to investigate, not assumptions to advertise.</w:t>
      </w:r>
    </w:p>
    <w:p>
      <w:pPr>
        <w:pStyle w:val="Heading2"/>
      </w:pPr>
      <w:r>
        <w:t>1.4 How success will be judged</w:t>
      </w:r>
    </w:p>
    <w:p>
      <w:r>
        <w:rPr>
          <w:i w:val="0"/>
        </w:rPr>
        <w:t>Success is not page count, visual polish, learner praise alone, or the number of examples generated. The principal indicators are:</w:t>
      </w:r>
    </w:p>
    <w:p>
      <w:pPr>
        <w:pStyle w:val="ListBullet"/>
        <w:ind w:left="346" w:hanging="173"/>
      </w:pPr>
      <w:r>
        <w:t>Mathematical and scientific correctness.</w:t>
      </w:r>
    </w:p>
    <w:p>
      <w:pPr>
        <w:pStyle w:val="ListBullet"/>
        <w:ind w:left="346" w:hanging="173"/>
      </w:pPr>
      <w:r>
        <w:t>Clear and faithful explanations.</w:t>
      </w:r>
    </w:p>
    <w:p>
      <w:pPr>
        <w:pStyle w:val="ListBullet"/>
        <w:ind w:left="346" w:hanging="173"/>
      </w:pPr>
      <w:r>
        <w:t>Independent usability.</w:t>
      </w:r>
    </w:p>
    <w:p>
      <w:pPr>
        <w:pStyle w:val="ListBullet"/>
        <w:ind w:left="346" w:hanging="173"/>
      </w:pPr>
      <w:r>
        <w:t>Accurate execution and justification.</w:t>
      </w:r>
    </w:p>
    <w:p>
      <w:pPr>
        <w:pStyle w:val="ListBullet"/>
        <w:ind w:left="346" w:hanging="173"/>
      </w:pPr>
      <w:r>
        <w:t>Transfer to unfamiliar problems.</w:t>
      </w:r>
    </w:p>
    <w:p>
      <w:pPr>
        <w:pStyle w:val="ListBullet"/>
        <w:ind w:left="346" w:hanging="173"/>
      </w:pPr>
      <w:r>
        <w:t>Delayed retention where it can be assessed.</w:t>
      </w:r>
    </w:p>
    <w:p>
      <w:pPr>
        <w:pStyle w:val="ListBullet"/>
        <w:ind w:left="346" w:hanging="173"/>
      </w:pPr>
      <w:r>
        <w:t>Consistency and traceability across the full collection.</w:t>
      </w:r>
    </w:p>
    <w:p>
      <w:r>
        <w:rPr>
          <w:i w:val="0"/>
        </w:rPr>
        <w:t>This balanced view is informed by the National Research Council’s account of mathematical proficiency, which treats conceptual understanding, procedural fluency, strategic competence, adaptive reasoning, and productive disposition as connected strands rather than independent goals [1]. The report is a useful framework, not proof that this exact project design will succeed; our method must be tested.</w:t>
      </w:r>
    </w:p>
    <w:p>
      <w:pPr>
        <w:pStyle w:val="Heading1"/>
      </w:pPr>
      <w:r>
        <w:t>2. Audience, scope, and boundaries</w:t>
      </w:r>
    </w:p>
    <w:p>
      <w:pPr>
        <w:pStyle w:val="Heading2"/>
      </w:pPr>
      <w:r>
        <w:t>2.1 Primary audience</w:t>
      </w:r>
    </w:p>
    <w:p>
      <w:r>
        <w:rPr>
          <w:i w:val="0"/>
        </w:rPr>
        <w:t>The intended audience is broad: complete beginners, school learners, adult returners, university students, independent learners, and advanced readers who want a clearer conceptual account of topics they already use.</w:t>
      </w:r>
    </w:p>
    <w:p>
      <w:r>
        <w:rPr>
          <w:i w:val="0"/>
        </w:rPr>
        <w:t>The curriculum must not assume one uniform route through every chapter. It will provide:</w:t>
      </w:r>
    </w:p>
    <w:p>
      <w:pPr>
        <w:pStyle w:val="ListBullet"/>
        <w:ind w:left="346" w:hanging="173"/>
      </w:pPr>
      <w:r>
        <w:t>Explicit prerequisites and diagnostic checks.</w:t>
      </w:r>
    </w:p>
    <w:p>
      <w:pPr>
        <w:pStyle w:val="ListBullet"/>
        <w:ind w:left="346" w:hanging="173"/>
      </w:pPr>
      <w:r>
        <w:t>Multiple entry points where prior knowledge differs.</w:t>
      </w:r>
    </w:p>
    <w:p>
      <w:pPr>
        <w:pStyle w:val="ListBullet"/>
        <w:ind w:left="346" w:hanging="173"/>
      </w:pPr>
      <w:r>
        <w:t>Short repair sections for common prerequisite gaps.</w:t>
      </w:r>
    </w:p>
    <w:p>
      <w:pPr>
        <w:pStyle w:val="ListBullet"/>
        <w:ind w:left="346" w:hanging="173"/>
      </w:pPr>
      <w:r>
        <w:t>Clear links to prerequisite chapters.</w:t>
      </w:r>
    </w:p>
    <w:p>
      <w:pPr>
        <w:pStyle w:val="ListBullet"/>
        <w:ind w:left="346" w:hanging="173"/>
      </w:pPr>
      <w:r>
        <w:t>Advanced extensions without making them mandatory for every reader.</w:t>
      </w:r>
    </w:p>
    <w:p>
      <w:pPr>
        <w:pStyle w:val="Heading2"/>
      </w:pPr>
      <w:r>
        <w:t>2.2 Scope of the core series</w:t>
      </w:r>
    </w:p>
    <w:p>
      <w:r>
        <w:rPr>
          <w:i w:val="0"/>
        </w:rPr>
        <w:t>The core mathematics collection is intended to progress from basic quantities and arithmetic through algebra, geometry, functions, trigonometry, logic, calculus, linear algebra, probability and statistics, differential equations, and selected advanced topics such as real analysis, abstract algebra, complex analysis, topology, and measure theory.</w:t>
      </w:r>
    </w:p>
    <w:p>
      <w:r>
        <w:t>The detailed list, order, volume boundaries, and depth are not frozen in v1.3. They will be established by a prerequisite and concept-dependency map before full book production. Some topics require parallel pathways rather than one linear route.</w:t>
      </w:r>
    </w:p>
    <w:p>
      <w:pPr>
        <w:pStyle w:val="Heading2"/>
      </w:pPr>
      <w:r>
        <w:t>2.3 Scope of the science companion series</w:t>
      </w:r>
    </w:p>
    <w:p>
      <w:r>
        <w:rPr>
          <w:i w:val="0"/>
        </w:rPr>
        <w:t>A connected application collection will show how mathematical ideas are used in physics, chemistry, biology, and broader scientific modeling. Applications will be tied to core prerequisites and will distinguish among:</w:t>
      </w:r>
    </w:p>
    <w:p>
      <w:pPr>
        <w:pStyle w:val="ListBullet"/>
        <w:ind w:left="346" w:hanging="173"/>
      </w:pPr>
      <w:r>
        <w:t>Mathematical identities or theorems.</w:t>
      </w:r>
    </w:p>
    <w:p>
      <w:pPr>
        <w:pStyle w:val="ListBullet"/>
        <w:ind w:left="346" w:hanging="173"/>
      </w:pPr>
      <w:r>
        <w:t>Assumptions of a physical or scientific model.</w:t>
      </w:r>
    </w:p>
    <w:p>
      <w:pPr>
        <w:pStyle w:val="ListBullet"/>
        <w:ind w:left="346" w:hanging="173"/>
      </w:pPr>
      <w:r>
        <w:t>Empirical laws and approximations.</w:t>
      </w:r>
    </w:p>
    <w:p>
      <w:pPr>
        <w:pStyle w:val="ListBullet"/>
        <w:ind w:left="346" w:hanging="173"/>
      </w:pPr>
      <w:r>
        <w:t>Numerical or symbolic calculations.</w:t>
      </w:r>
    </w:p>
    <w:p>
      <w:pPr>
        <w:pStyle w:val="ListBullet"/>
        <w:ind w:left="346" w:hanging="173"/>
      </w:pPr>
      <w:r>
        <w:t>Interpretations that are helpful pedagogically but are not themselves mathematical proofs.</w:t>
      </w:r>
    </w:p>
    <w:p>
      <w:r>
        <w:rPr>
          <w:i w:val="0"/>
        </w:rPr>
        <w:t>The science books will not be used to smuggle unexplained mathematics into the core curriculum. When required mathematics is introduced in an application chapter, the chapter must either teach the required idea adequately or point to a suitable core treatment and provide a short, correct refresher.</w:t>
      </w:r>
    </w:p>
    <w:p>
      <w:pPr>
        <w:pStyle w:val="Heading2"/>
      </w:pPr>
      <w:r>
        <w:t>2.4 Out of scope for the initial phase</w:t>
      </w:r>
    </w:p>
    <w:p>
      <w:pPr>
        <w:pStyle w:val="ListBullet"/>
        <w:ind w:left="346" w:hanging="173"/>
      </w:pPr>
      <w:r>
        <w:t>Draft the entire collection in one pass.</w:t>
      </w:r>
    </w:p>
    <w:p>
      <w:pPr>
        <w:pStyle w:val="ListBullet"/>
        <w:ind w:left="346" w:hanging="173"/>
      </w:pPr>
      <w:r>
        <w:t>Promise a fixed number of volumes or publication date.</w:t>
      </w:r>
    </w:p>
    <w:p>
      <w:pPr>
        <w:pStyle w:val="ListBullet"/>
        <w:ind w:left="346" w:hanging="173"/>
      </w:pPr>
      <w:r>
        <w:t>Claim measured learning benefits without comparative evidence.</w:t>
      </w:r>
    </w:p>
    <w:p>
      <w:pPr>
        <w:pStyle w:val="ListBullet"/>
        <w:ind w:left="346" w:hanging="173"/>
      </w:pPr>
      <w:r>
        <w:t>Treat an AI-generated answer or citation as verified merely because it sounds plausible.</w:t>
      </w:r>
    </w:p>
    <w:p>
      <w:pPr>
        <w:pStyle w:val="ListBullet"/>
        <w:ind w:left="346" w:hanging="173"/>
      </w:pPr>
      <w:r>
        <w:t>Require learners to use paid software or a specific device to complete the core books.</w:t>
      </w:r>
    </w:p>
    <w:p>
      <w:pPr>
        <w:pStyle w:val="ListBullet"/>
        <w:ind w:left="346" w:hanging="173"/>
      </w:pPr>
      <w:r>
        <w:t>Make visual effects, gamification, or analogies more important than mathematical truth.</w:t>
      </w:r>
    </w:p>
    <w:p>
      <w:pPr>
        <w:pStyle w:val="Heading1"/>
      </w:pPr>
      <w:r>
        <w:t>3. Non-negotiable principles</w:t>
      </w:r>
    </w:p>
    <w:p>
      <w:pPr>
        <w:pStyle w:val="Heading2"/>
      </w:pPr>
      <w:r>
        <w:t>3.1 Problem first; intuition before formalism, where appropriate</w:t>
      </w:r>
    </w:p>
    <w:p>
      <w:r>
        <w:t>For a suitable conceptual lesson, begin with a specific, mathematically meaningful problem, question, prediction, or claim before giving the main intuitive explanation. Invite the reader to try a small first attempt or state a conjecture using what they already know. The attempt may be partial or incorrect; it exists to activate prior knowledge and make the learning need visible, not to punish gaps in knowledge. Then build intuition around the problem and the learner’s plausible approaches. Connect intuitive meaning to diagrams, graphs, examples, and symbolic representations before or alongside formal definitions. Give precise instruction, derivation, or proof, and explicitly compare it with the first attempt so the reader can see what was useful, incomplete, or mistaken. Intuition still precedes formalism; the new default is that a problem opens the door to intuition. Do not force problem-first exploration onto every topic. When prerequisites are missing, the search space is too large, the target is completely unfamiliar, or a procedural worked example is the more responsible entry point, provide a short orientation or a worked example first. The author must choose deliberately and record why. Never abandon a self-study reader in unproductive struggle: supply graduated hints, a clear route to the explanation, and feedback after the attempt.</w:t>
      </w:r>
    </w:p>
    <w:p>
      <w:pPr>
        <w:pStyle w:val="Heading2"/>
      </w:pPr>
      <w:r>
        <w:t>3.2 Rigor without compromise</w:t>
      </w:r>
    </w:p>
    <w:p>
      <w:r>
        <w:rPr>
          <w:i w:val="0"/>
        </w:rPr>
        <w:t>Intuition supplements formal mathematics; it does not replace definitions, valid derivation, proof, exact conditions, or correct calculation. Every claim must be stated at the level of precision appropriate to the chapter.</w:t>
      </w:r>
    </w:p>
    <w:p>
      <w:pPr>
        <w:pStyle w:val="Heading2"/>
      </w:pPr>
      <w:r>
        <w:t>3.3 Multiple representations with explicit connections</w:t>
      </w:r>
    </w:p>
    <w:p>
      <w:r>
        <w:t>Use verbal descriptions, number lines, diagrams, tables, graphs, physical models, symbolic expressions, and code when each genuinely helps. Visual representations are part of the explanation whenever the concept depends on spatial, graphical, structural, geometric, or data relationships. Do not decorate the page with a representation that adds no understanding. Explain how representations connect and where they cease to be equivalent. When useful, ask learners both to interpret a visual and to construct one themselves.</w:t>
      </w:r>
    </w:p>
    <w:p>
      <w:pPr>
        <w:pStyle w:val="Heading2"/>
      </w:pPr>
      <w:r>
        <w:t>3.4 Every operation is interpreted in context</w:t>
      </w:r>
    </w:p>
    <w:p>
      <w:r>
        <w:rPr>
          <w:i w:val="0"/>
        </w:rPr>
        <w:t>The books must explain why operations appear in particular expressions. They must not force one simplistic translation onto a symbol. Multiplication may express scaling, area, a product of quantities, composition, or a different structure; division may express a ratio, rate, inverse operation, or normalization. The correct interpretation depends on definitions and context.</w:t>
      </w:r>
    </w:p>
    <w:p>
      <w:pPr>
        <w:pStyle w:val="Heading2"/>
      </w:pPr>
      <w:r>
        <w:t>3.5 Derivations explain decisions</w:t>
      </w:r>
    </w:p>
    <w:p>
      <w:r>
        <w:rPr>
          <w:i w:val="0"/>
        </w:rPr>
        <w:t>Worked derivations should tell learners why a relation is introduced, why a transformation is allowed, what assumptions are being used, and how the result can be checked. Algebraic steps should not be skipped simply because an experienced author finds them obvious.</w:t>
      </w:r>
    </w:p>
    <w:p>
      <w:pPr>
        <w:pStyle w:val="Heading2"/>
      </w:pPr>
      <w:r>
        <w:t>3.6 Understanding must transfer</w:t>
      </w:r>
    </w:p>
    <w:p>
      <w:r>
        <w:rPr>
          <w:i w:val="0"/>
        </w:rPr>
        <w:t>Learners need tasks that change the numbers, representation, assumptions, or context. Familiar-example imitation is not sufficient evidence of mastery.</w:t>
      </w:r>
    </w:p>
    <w:p>
      <w:pPr>
        <w:pStyle w:val="Heading2"/>
      </w:pPr>
      <w:r>
        <w:t>3.7 Independent learning is a design constraint</w:t>
      </w:r>
    </w:p>
    <w:p>
      <w:r>
        <w:rPr>
          <w:i w:val="0"/>
        </w:rPr>
        <w:t>Each chapter must include enough orientation, explanation, practice, feedback, and solution support for a learner to study alone. Do not rely on a teacher being present to fill in missing logic.</w:t>
      </w:r>
    </w:p>
    <w:p>
      <w:pPr>
        <w:pStyle w:val="Heading2"/>
      </w:pPr>
      <w:r>
        <w:t>3.8 Accessibility without dilution</w:t>
      </w:r>
    </w:p>
    <w:p>
      <w:r>
        <w:rPr>
          <w:i w:val="0"/>
        </w:rPr>
        <w:t>Use plain language where it is accurate. Define unavoidable technical vocabulary. Avoid unnecessary jargon, but introduce the correct term when learners need it. “Easy to read” must never mean “less precise.”</w:t>
      </w:r>
    </w:p>
    <w:p>
      <w:pPr>
        <w:pStyle w:val="Heading2"/>
      </w:pPr>
      <w:r>
        <w:t>3.9 Scientific honesty</w:t>
      </w:r>
    </w:p>
    <w:p>
      <w:r>
        <w:rPr>
          <w:i w:val="0"/>
        </w:rPr>
        <w:t>State the scope and limits of analogies and models. Distinguish exact results from approximations, empirical observations, conjectures, and interpretations. Do not imply a causal or physical explanation where the mathematics alone does not establish one.</w:t>
      </w:r>
    </w:p>
    <w:p>
      <w:pPr>
        <w:pStyle w:val="Heading2"/>
      </w:pPr>
      <w:r>
        <w:t>3.10 Learnability over spectacle</w:t>
      </w:r>
    </w:p>
    <w:p>
      <w:r>
        <w:rPr>
          <w:i w:val="0"/>
        </w:rPr>
        <w:t>Every figure, sidebar, analogy, story, interaction, or visual element must support understanding, memory, reasoning, or application. Engagement is valuable only when it serves learning.</w:t>
      </w:r>
    </w:p>
    <w:p>
      <w:pPr>
        <w:pStyle w:val="Heading2"/>
      </w:pPr>
      <w:r>
        <w:t>3.11 Visual mathematics is core infrastructure</w:t>
      </w:r>
    </w:p>
    <w:p>
      <w:pPr/>
      <w:r>
        <w:t>The series will not default to text-only exposition when a visual would materially support understanding. Depending on the topic, assets may include number lines, arrays, fraction and area models, coordinate plots, function graphs, geometric constructions, annotated proof diagrams, transformations, vectors, flowcharts, tables, statistical plots, probability trees, vector fields, 2D cross-sections, 3D schematics, and carefully chosen scientific diagrams. The asset must serve a specific learning outcome; not every chapter needs every type.</w:t>
      </w:r>
    </w:p>
    <w:p>
      <w:pPr/>
      <w:r>
        <w:t>A chapter about graphs must include accurate graphs and guided work in reading, interpreting, sketching, or constructing them. A chapter about geometry must use diagrams where they support spatial reasoning. A diagram-dependent proof must not rely on a figure alone when formal justification is needed. If a visual is central to the idea, removing it should make the explanation materially harder to understand; otherwise its purpose should be reconsidered.</w:t>
      </w:r>
    </w:p>
    <w:p>
      <w:pPr/>
      <w:r>
        <w:t>Every mathematical visual must be checked against the mathematics. Axes, scales, tick marks, units, labels, domains, ranges, orientations, legend keys, and assumptions must be shown when relevant. Graphs must not misrepresent the function, data, or relationship; geometry drawings must distinguish schematic appearance from stated mathematical facts. Color must not be the only way to encode meaning. Captions and nearby text should explain what to notice, meaningful figures need alt text or an equivalent text description, and the visual must remain legible at its intended print or screen size.</w:t>
      </w:r>
    </w:p>
    <w:p>
      <w:pPr/>
      <w:r>
        <w:t>Prefer original, purpose-built visuals that match the teaching sequence. Record provenance and permissions for any reused asset. A visually polished but mathematically false figure is a correctness defect, not merely a design issue. Final review must inspect every page, equation, graph, diagram, table, and caption.</w:t>
      </w:r>
    </w:p>
    <w:p>
      <w:pPr>
        <w:pStyle w:val="Heading2"/>
      </w:pPr>
      <w:r>
        <w:t>3.12 Build visualization ability; do not create visual dependence</w:t>
      </w:r>
    </w:p>
    <w:p>
      <w:pPr/>
      <w:r>
        <w:t>The goal is not for readers to rely forever on diagrams supplied by the author. The goal is to help them choose, make, interpret, and adapt representations when a problem calls for them. A supplied visual is a teaching scaffold and a valid mathematical tool—not a substitute for the reader's own reasoning.</w:t>
      </w:r>
    </w:p>
    <w:p>
      <w:pPr/>
      <w:r>
        <w:t>When appropriate, use a gradual progression: (1) study a clear example and learn what its parts mean; (2) annotate or explain it; (3) predict a missing feature or complete a partly finished visual; (4) construct a visual from words, data, an equation, or stated conditions; (5) reconstruct or redraw it without copying the displayed solution; and (6) transfer the skill to changed conditions or a new context. Not every lesson needs all six steps, and the sequence may loop back when learners need support.</w:t>
      </w:r>
    </w:p>
    <w:p>
      <w:pPr/>
      <w:r>
        <w:t>Place brief prompts directly in the body of the explanation at the moment they matter. Examples include 'Pause: before looking below, sketch what you expect,' 'Predict the graph's shape before we plot it,' 'Draw your own diagram from these conditions,' 'What changes if this parameter increases?', or 'Cover the diagram and reconstruct its key relationships from memory.' These are instructional checkpoints, not optional end-of-chapter extras. They should be visually recognizable but should not interrupt the logic of the explanation.</w:t>
      </w:r>
    </w:p>
    <w:p>
      <w:pPr/>
      <w:r>
        <w:t>Reveal the reference visual or worked construction after the learner has had a reasonable chance to try. Then compare the learner's version with the reference and explain meaningful differences. Avoid treating one stylistic drawing as the only acceptable result when several representations are mathematically sound. For proofs, diagrams may help readers discover a route, but the proof must separately justify the claim. For graphs, readers must learn to sketch and reason from equations, tables, and contexts—not only admire a supplied plot.</w:t>
      </w:r>
    </w:p>
    <w:p>
      <w:pPr/>
      <w:r>
        <w:t>Do not confuse visualization training with requiring vivid mental pictures. Some learners do not form voluntary mental imagery easily. Use accessible alternatives such as drawing, stepwise verbal or spatial descriptions, tactile or screen-reader-compatible representations where feasible, and structured symbolic reasoning. The objective is flexible representational reasoning, not a test of a person's subjective imagery.</w:t>
      </w:r>
    </w:p>
    <w:p>
      <w:pPr>
        <w:pStyle w:val="Heading1"/>
      </w:pPr>
      <w:r>
        <w:t>4. The Intuition-to-Formalism Bridge (IFB)</w:t>
      </w:r>
    </w:p>
    <w:p>
      <w:r>
        <w:rPr>
          <w:i w:val="0"/>
        </w:rPr>
        <w:t>The working teaching method is named the Intuition-to-Formalism Bridge (IFB). It is an editorial framework to be tested and refined, not a claim of a newly validated theory of learning.</w:t>
      </w:r>
    </w:p>
    <w:p>
      <w:pPr>
        <w:pStyle w:val="Heading2"/>
      </w:pPr>
      <w:r>
        <w:t>4.1 Problem-first, intuition-to-formalism sequence</w:t>
      </w:r>
    </w:p>
    <w:p>
      <w:pPr>
        <w:ind w:left="403" w:hanging="173"/>
      </w:pPr>
      <w:r>
        <w:t>1.  Problem statement: Pose a concrete question, problem, pattern, prediction, or claim before explaining the target concept. State exactly what the reader is being asked to find, compare, construct, explain, or decide.</w:t>
      </w:r>
    </w:p>
    <w:p>
      <w:pPr>
        <w:ind w:left="403" w:hanging="173"/>
      </w:pPr>
      <w:r>
        <w:t>2.  First attempt: Invite the reader to try briefly, predict an outcome, draw a rough sketch, generate one or more approaches, or state a conjecture using prior knowledge. Do not imply they must already know the formal method. Make pausing and attempting worthwhile, with a hint available when needed.</w:t>
      </w:r>
    </w:p>
    <w:p>
      <w:pPr>
        <w:ind w:left="403" w:hanging="173"/>
      </w:pPr>
      <w:r>
        <w:t>3.  Intuition: Build an initial mental model around the problem. Use the reader’s plausible ideas as a bridge to the concept, and show why the problem calls for a more precise mathematical tool.</w:t>
      </w:r>
    </w:p>
    <w:p>
      <w:pPr>
        <w:ind w:left="403" w:hanging="173"/>
      </w:pPr>
      <w:r>
        <w:t>4.  Representations: Connect verbal, numerical, graphical, geometric, tabular, and symbolic views where useful. Ask for a prediction, sketch, annotation, or partial construction before revealing a finished visual when this serves the learning goal.</w:t>
      </w:r>
    </w:p>
    <w:p>
      <w:pPr>
        <w:ind w:left="403" w:hanging="173"/>
      </w:pPr>
      <w:r>
        <w:t>5.  Precise language: Introduce the quantities, definitions, notation, assumptions, and technical terms needed to describe the relationships accurately.</w:t>
      </w:r>
    </w:p>
    <w:p>
      <w:pPr>
        <w:ind w:left="403" w:hanging="173"/>
      </w:pPr>
      <w:r>
        <w:t>6.  Formal structure: State the mathematical relation, theorem, procedure, definition, model, or proof target precisely.</w:t>
      </w:r>
    </w:p>
    <w:p>
      <w:pPr>
        <w:ind w:left="403" w:hanging="173"/>
      </w:pPr>
      <w:r>
        <w:t>7.  Explanation and justification: Derive the result or prove the claim with assumptions and permitted steps explicit. Explain why the method works, not merely what steps to copy.</w:t>
      </w:r>
    </w:p>
    <w:p>
      <w:pPr>
        <w:ind w:left="403" w:hanging="173"/>
      </w:pPr>
      <w:r>
        <w:t>8.  Compare and consolidate: Return to the initial problem and attempt. Identify which ideas were useful, why incomplete approaches failed or needed refinement, and how the formal method resolves the issue. Treat errors as information, not as a personal failure.</w:t>
      </w:r>
    </w:p>
    <w:p>
      <w:pPr>
        <w:ind w:left="403" w:hanging="173"/>
      </w:pPr>
      <w:r>
        <w:t>9.  Guided practice: Work through carefully chosen examples while explaining decisions, checks, and alternative representations.</w:t>
      </w:r>
    </w:p>
    <w:p>
      <w:pPr>
        <w:ind w:left="403" w:hanging="173"/>
      </w:pPr>
      <w:r>
        <w:t>10.  Independent practice: Progress from execution to explanation, construction, proof, strategy selection, and transfer to unfamiliar problems.</w:t>
      </w:r>
    </w:p>
    <w:p>
      <w:pPr/>
      <w:r>
        <w:t>11.  Boundaries and connections: Examine exceptions, counterexamples, limiting cases, alternative methods, and links to other topics.</w:t>
      </w:r>
    </w:p>
    <w:p>
      <w:pPr/>
      <w:r>
        <w:t>12.  Retrieval and return: Revisit the idea later through cumulative questions and spaced review, including some prompts without worked steps immediately available.</w:t>
      </w:r>
    </w:p>
    <w:p>
      <w:r>
        <w:t>This is a design default, not a rigid script. A problem-first opening should make later instruction more meaningful by activating existing ideas and exposing the question the new concept answers. It should be carefully chosen so a learner can make a useful attempt even if they cannot solve it. The subsequent explanation must connect explicitly to that attempt; simply placing a hard question at the beginning and then ignoring it does not satisfy this standard. A meta-analysis of 53 studies with 166 comparisons reported a moderate average advantage for problem-solving followed by instruction over instruction followed by problem-solving (Hedges’ g = 0.36), with stronger effects when the design closely followed productive-failure principles [7]. A randomized mathematics study also reported benefits for conceptual understanding and transfer in its particular setting [8]. These findings support considering the sequence; they do not prove that it is best for every age, topic, learner, or implementation. The meta-analysis reported moderator patterns, including contrasts for younger learners and domain-general skills [7]. The project must pilot the method and retain explicit exceptions rather than claim universal superiority.</w:t>
      </w:r>
    </w:p>
    <w:p>
      <w:pPr>
        <w:pStyle w:val="Heading2"/>
      </w:pPr>
      <w:r>
        <w:t>4.2 The operation-interpretation protocol</w:t>
      </w:r>
    </w:p>
    <w:p>
      <w:pPr>
        <w:pStyle w:val="ListBullet"/>
        <w:ind w:left="346" w:hanging="173"/>
      </w:pPr>
      <w:r>
        <w:t>What are the objects and quantities?</w:t>
      </w:r>
    </w:p>
    <w:p>
      <w:pPr>
        <w:pStyle w:val="ListBullet"/>
        <w:ind w:left="346" w:hanging="173"/>
      </w:pPr>
      <w:r>
        <w:t>What relationship is claimed?</w:t>
      </w:r>
    </w:p>
    <w:p>
      <w:pPr>
        <w:pStyle w:val="ListBullet"/>
        <w:ind w:left="346" w:hanging="173"/>
      </w:pPr>
      <w:r>
        <w:t>Why is the selected operation appropriate in this context?</w:t>
      </w:r>
    </w:p>
    <w:p>
      <w:pPr>
        <w:pStyle w:val="ListBullet"/>
        <w:ind w:left="346" w:hanging="173"/>
      </w:pPr>
      <w:r>
        <w:t>Which definitions, laws, assumptions, or modeling choices justify it?</w:t>
      </w:r>
    </w:p>
    <w:p>
      <w:pPr>
        <w:pStyle w:val="ListBullet"/>
        <w:ind w:left="346" w:hanging="173"/>
      </w:pPr>
      <w:r>
        <w:t>What does the expression imply when one quantity changes?</w:t>
      </w:r>
    </w:p>
    <w:p>
      <w:pPr>
        <w:pStyle w:val="ListBullet"/>
        <w:ind w:left="346" w:hanging="173"/>
      </w:pPr>
      <w:r>
        <w:t>What are the units, domain restrictions, sign behavior, and limiting cases, where applicable?</w:t>
      </w:r>
    </w:p>
    <w:p>
      <w:pPr>
        <w:pStyle w:val="ListBullet"/>
        <w:ind w:left="346" w:hanging="173"/>
      </w:pPr>
      <w:r>
        <w:t>Is there a counterexample to an oversimplified verbal interpretation?</w:t>
      </w:r>
    </w:p>
    <w:p>
      <w:pPr>
        <w:pStyle w:val="Heading2"/>
      </w:pPr>
      <w:r>
        <w:t>4.3 Illustrative example: electrostatic interaction energy</w:t>
      </w:r>
    </w:p>
    <w:p>
      <w:pPr>
        <w:jc w:val="center"/>
      </w:pPr>
      <w:r>
        <w:rPr>
          <w:b/>
          <w:color w:val="183153"/>
          <w:sz w:val="26"/>
        </w:rPr>
        <w:t>U(r) = k q₁q₂ / r,     k = 1 / (4π ε₀)</w:t>
      </w:r>
    </w:p>
    <w:p>
      <w:r>
        <w:rPr>
          <w:i w:val="0"/>
        </w:rPr>
        <w:t>For two point charges in the electrostatic setting, with zero potential energy chosen at infinite separation, the interaction energy is given by the expression above.</w:t>
      </w:r>
    </w:p>
    <w:p>
      <w:r>
        <w:rPr>
          <w:i w:val="0"/>
        </w:rPr>
        <w:t>A sound intuitive treatment should derive the structure rather than assign arbitrary meanings to the symbols. The potential created by the first point charge is proportional to q₁/r; the potential energy of the second charge in that potential is q₂ times the potential. This leads to the product q₁q₂ and the inverse distance dependence. The sign depends on the charge signs and the chosen reference convention. The model and its assumptions must be stated.</w:t>
      </w:r>
    </w:p>
    <w:p>
      <w:r>
        <w:rPr>
          <w:i w:val="0"/>
        </w:rPr>
        <w:t>For the dipole example, the learner then sums the four pairwise charge interactions with their appropriate signs and separations. If a distant-dipole approximation is introduced, the chapter must explain the geometry, approximation conditions, and orientation dependence. It must not suggest that the simplified pair-charge expression alone automatically gives every dipole interaction result.</w:t>
      </w:r>
    </w:p>
    <w:p>
      <w:r>
        <w:rPr>
          <w:i/>
        </w:rPr>
        <w:t>This example is a prototype of the teaching method, not yet an approved chapter.</w:t>
      </w:r>
    </w:p>
    <w:p>
      <w:pPr>
        <w:pStyle w:val="Heading2"/>
      </w:pPr>
      <w:r>
        <w:t>4.4 The Concept-to-Equation Method (CEM)</w:t>
      </w:r>
    </w:p>
    <w:p>
      <w:pPr/>
      <w:r>
        <w:t>CEM is the standard scaffold for learning to formulate mathematics. It complements IFB; it does not replace topic-specific reasoning.</w:t>
      </w:r>
    </w:p>
    <w:p>
      <w:pPr/>
      <w:r>
        <w:t>1. Describe the situation: state what is happening, what is being asked, and what the model needs to explain.</w:t>
      </w:r>
    </w:p>
    <w:p>
      <w:pPr/>
      <w:r>
        <w:t>2. Identify the quantities: separate known values, unknowns, variables, parameters, constants, and relevant objects.</w:t>
      </w:r>
    </w:p>
    <w:p>
      <w:pPr/>
      <w:r>
        <w:t>3. Choose relationships: ask which quantities depend on, compare with, constrain, or change with other quantities.</w:t>
      </w:r>
    </w:p>
    <w:p>
      <w:pPr/>
      <w:r>
        <w:t>4. Choose representations: use words, diagrams, tables, graphs, arithmetic, symbols, or combinations as useful.</w:t>
      </w:r>
    </w:p>
    <w:p>
      <w:pPr/>
      <w:r>
        <w:t>5. Construct the mathematics: form an equation, inequality, function, system, sequence, geometric relation, or other suitable object.</w:t>
      </w:r>
    </w:p>
    <w:p>
      <w:pPr/>
      <w:r>
        <w:t>6. State constraints: specify assumptions, domain, units, signs, initial or boundary conditions, and approximation limits where relevant.</w:t>
      </w:r>
    </w:p>
    <w:p>
      <w:pPr/>
      <w:r>
        <w:t>7. Validate: test cases, check dimensions or units where applicable, examine extreme or boundary cases, and interpret the result in context.</w:t>
      </w:r>
    </w:p>
    <w:p>
      <w:pPr/>
      <w:r>
        <w:t>8. Revise if needed: correct a model that fails its checks or state its limitations.</w:t>
      </w:r>
    </w:p>
    <w:p>
      <w:pPr/>
      <w:r>
        <w:t>The workflow is iterative, not a rigid recipe. Some situations do not contain enough information to determine a unique model; learners must recognize this and state what additional assumptions or data are needed. Exercises should progress from guided formulation to independent construction in unfamiliar settings.</w:t>
      </w:r>
    </w:p>
    <w:p>
      <w:pPr>
        <w:pStyle w:val="Heading2"/>
      </w:pPr>
      <w:r>
        <w:t>4.5 The Mathematical Discovery-to-Proof Method (MDP)</w:t>
      </w:r>
    </w:p>
    <w:p>
      <w:pPr/>
      <w:r>
        <w:t>MDP develops the ability to move from a question or observed pattern to a justified mathematical claim. It is a teaching scaffold, not a universal algorithm for discovery.</w:t>
      </w:r>
    </w:p>
    <w:p>
      <w:pPr/>
      <w:r>
        <w:t>1. Notice or ask: identify a pattern, puzzle, relationship, or claim worth investigating.</w:t>
      </w:r>
    </w:p>
    <w:p>
      <w:pPr/>
      <w:r>
        <w:t>2. Explore examples: calculate cases, draw figures, use tables or computation, and compare representations.</w:t>
      </w:r>
    </w:p>
    <w:p>
      <w:pPr/>
      <w:r>
        <w:t>3. State a conjecture precisely, including its domain and quantifiers.</w:t>
      </w:r>
    </w:p>
    <w:p>
      <w:pPr/>
      <w:r>
        <w:t>4. Try to break it: check small cases, boundary conditions, special cases, and counterexamples. Examples may refute a universal claim, but finitely many examples do not generally prove it.</w:t>
      </w:r>
    </w:p>
    <w:p>
      <w:pPr/>
      <w:r>
        <w:t>5. Choose an appropriate strategy: direct proof, algebraic transformation, induction, contrapositive, contradiction, construction, lemma, known theorem, or another valid method.</w:t>
      </w:r>
    </w:p>
    <w:p>
      <w:pPr/>
      <w:r>
        <w:t>6. Build the argument: state definitions and assumptions, justify important inferences, and make the logical structure visible.</w:t>
      </w:r>
    </w:p>
    <w:p>
      <w:pPr/>
      <w:r>
        <w:t>7. Audit the proof: check that it proves the exact claim, handles required cases, and does not assume what it seeks to prove.</w:t>
      </w:r>
    </w:p>
    <w:p>
      <w:pPr/>
      <w:r>
        <w:t>8. Extend the result where appropriate: compare proofs, strengthen or weaken claims, generalize, and identify conditions under which the statement fails.</w:t>
      </w:r>
    </w:p>
    <w:p>
      <w:pPr/>
      <w:r>
        <w:t>Learners must practise both reading finished proofs and producing their own. Proof instruction should begin with topic-appropriate justification in foundational chapters and become more explicit and formal as prerequisites develop. A proof is judged by logical validity, not by whether the discovery process was elegant.</w:t>
      </w:r>
    </w:p>
    <w:p>
      <w:pPr>
        <w:pStyle w:val="Heading2"/>
      </w:pPr>
      <w:r>
        <w:t>4.6 Three directions of mathematical learning</w:t>
      </w:r>
    </w:p>
    <w:p>
      <w:pPr>
        <w:pStyle w:val="ListBullet"/>
      </w:pPr>
      <w:r>
        <w:t>Intuition to mathematics: construct an expression, equation, graph, model, conjecture, or proof from a situation or idea.</w:t>
      </w:r>
    </w:p>
    <w:p>
      <w:pPr>
        <w:pStyle w:val="ListBullet"/>
      </w:pPr>
      <w:r>
        <w:t>Mathematics to intuition: interpret what an equation, graph, theorem, transformation, or abstract object says and implies.</w:t>
      </w:r>
    </w:p>
    <w:p>
      <w:pPr>
        <w:pStyle w:val="ListBullet"/>
      </w:pPr>
      <w:r>
        <w:t>Mathematics to new mathematics: derive consequences, transform expressions validly, prove related claims, and connect structures.</w:t>
      </w:r>
    </w:p>
    <w:p>
      <w:pPr/>
      <w:r>
        <w:t>Mastery is incomplete when a learner can only follow one direction.</w:t>
      </w:r>
    </w:p>
    <w:p>
      <w:pPr>
        <w:pStyle w:val="Heading1"/>
      </w:pPr>
      <w:r>
        <w:t>5. Chapter and exercise standards</w:t>
      </w:r>
    </w:p>
    <w:p>
      <w:pPr>
        <w:pStyle w:val="Heading2"/>
      </w:pPr>
      <w:r>
        <w:t>5.1 Standard chapter architecture</w:t>
      </w:r>
    </w:p>
    <w:p>
      <w:pPr>
        <w:pStyle w:val="ListBullet"/>
        <w:ind w:left="346" w:hanging="173"/>
      </w:pPr>
      <w:r>
        <w:t>Prerequisites: What the reader should already know; short diagnostic questions.</w:t>
      </w:r>
    </w:p>
    <w:p>
      <w:pPr>
        <w:pStyle w:val="ListBullet"/>
        <w:ind w:left="346" w:hanging="173"/>
      </w:pPr>
      <w:r>
        <w:t>Learning outcomes: Observable capabilities, not vague statements such as “understand the topic.”</w:t>
      </w:r>
    </w:p>
    <w:p>
      <w:pPr>
        <w:pStyle w:val="ListBullet"/>
      </w:pPr>
      <w:r>
        <w:t>Problem statement / challenge (before the main explanation): State a specific question, problem, prediction, construction, or claim that naturally calls for the target concept. It should be mathematically meaningful, accessible enough to attempt, and precise about the task.</w:t>
      </w:r>
    </w:p>
    <w:p>
      <w:pPr>
        <w:pStyle w:val="ListBullet"/>
      </w:pPr>
      <w:r>
        <w:t>First attempt before instruction: Invite a brief try, prediction, rough sketch, conjecture, or one or more possible strategies. State that a complete solution is not required. Provide staged hints or a skip-to-explanation route so independent learners are not stranded.</w:t>
      </w:r>
    </w:p>
    <w:p>
      <w:pPr>
        <w:pStyle w:val="ListBullet"/>
        <w:ind w:left="346" w:hanging="173"/>
      </w:pPr>
      <w:r>
        <w:t>Motivating question / purpose: Explain why the concrete challenge matters and what broader idea it opens; do not replace the problem with a vague story.</w:t>
      </w:r>
    </w:p>
    <w:p>
      <w:pPr>
        <w:pStyle w:val="ListBullet"/>
        <w:ind w:left="346" w:hanging="173"/>
      </w:pPr>
      <w:r>
        <w:t>Intuitive entry point (developed after the challenge): Build the mental model around the problem, the reader’s prior knowledge, and the tentative approaches they may have tried.</w:t>
      </w:r>
    </w:p>
    <w:p>
      <w:pPr>
        <w:pStyle w:val="ListBullet"/>
        <w:ind w:left="346" w:hanging="173"/>
      </w:pPr>
      <w:r>
        <w:t>Representation bridge: Connections among words, pictures, numerical examples, graphs, and symbols. Include a purposeful visual plan: which diagrams, graphs, plots, or tables are essential, what each teaches, and how the learner will interpret or construct it.</w:t>
      </w:r>
    </w:p>
    <w:p>
      <w:pPr>
        <w:pStyle w:val="ListBullet"/>
      </w:pPr>
      <w:r>
        <w:t>Embedded think-and-do checkpoints: Short prompts placed inside the explanation, beside the relevant idea or figure. Ask readers to predict, sketch, annotate, complete, reconstruct, or transform a representation before the explanation supplies the whole answer. Do not relegate all visualization practice to the final exercise section.</w:t>
      </w:r>
    </w:p>
    <w:p>
      <w:pPr>
        <w:pStyle w:val="ListBullet"/>
      </w:pPr>
      <w:r>
        <w:t>Mathematical construction: include formulation tasks where appropriate, so learners build equations, models, graphs, diagrams, or other representations rather than only using ones supplied.</w:t>
      </w:r>
    </w:p>
    <w:p>
      <w:pPr>
        <w:pStyle w:val="ListBullet"/>
      </w:pPr>
      <w:r>
        <w:t>Discovery and proof: include appropriate tasks for conjecturing, explaining, proving, finding counterexamples, or critiquing reasoning; formal proof is required where the outcomes call for it.</w:t>
      </w:r>
    </w:p>
    <w:p>
      <w:pPr>
        <w:pStyle w:val="ListBullet"/>
        <w:ind w:left="346" w:hanging="173"/>
      </w:pPr>
      <w:r>
        <w:t>Definitions and notation: Precise meanings, domains, assumptions, and conventions.</w:t>
      </w:r>
    </w:p>
    <w:p>
      <w:pPr>
        <w:pStyle w:val="ListBullet"/>
        <w:ind w:left="346" w:hanging="173"/>
      </w:pPr>
      <w:r>
        <w:t>Derivation, explanation, or proof: A transparent account of why the central result holds.</w:t>
      </w:r>
    </w:p>
    <w:p>
      <w:pPr>
        <w:pStyle w:val="ListBullet"/>
        <w:ind w:left="346" w:hanging="173"/>
      </w:pPr>
      <w:r>
        <w:t>Worked examples: From straightforward to subtle, including a deliberately contrasted example where useful.</w:t>
      </w:r>
    </w:p>
    <w:p>
      <w:pPr>
        <w:pStyle w:val="ListBullet"/>
        <w:ind w:left="346" w:hanging="173"/>
      </w:pPr>
      <w:r>
        <w:t>Common misconceptions: Explain why tempting mistakes fail and how to detect them.</w:t>
      </w:r>
    </w:p>
    <w:p>
      <w:pPr>
        <w:pStyle w:val="ListBullet"/>
        <w:ind w:left="346" w:hanging="173"/>
      </w:pPr>
      <w:r>
        <w:t>Practice ladder: Recognition, execution, explanation, construction or proof, and transfer.</w:t>
      </w:r>
    </w:p>
    <w:p>
      <w:pPr>
        <w:pStyle w:val="ListBullet"/>
        <w:ind w:left="346" w:hanging="173"/>
      </w:pPr>
      <w:r>
        <w:t>Boundary cases and connections: Limits, exceptions, counterexamples, and links to earlier or later chapters.</w:t>
      </w:r>
    </w:p>
    <w:p>
      <w:pPr>
        <w:pStyle w:val="ListBullet"/>
        <w:ind w:left="346" w:hanging="173"/>
      </w:pPr>
      <w:r>
        <w:t>Summary and retrieval prompts: Key relations, questions without notes, and cumulative-review pointers.</w:t>
      </w:r>
    </w:p>
    <w:p>
      <w:pPr>
        <w:pStyle w:val="ListBullet"/>
        <w:ind w:left="346" w:hanging="173"/>
      </w:pPr>
      <w:r>
        <w:t>Hints and solutions: Sufficient reasoning for independent learning.</w:t>
      </w:r>
    </w:p>
    <w:p>
      <w:pPr>
        <w:pStyle w:val="ListBullet"/>
        <w:ind w:left="346" w:hanging="173"/>
      </w:pPr>
      <w:r>
        <w:t>Verification notes: Internal evidence and checking records retained in the project repository.</w:t>
      </w:r>
    </w:p>
    <w:p>
      <w:pPr>
        <w:pStyle w:val="Heading2"/>
      </w:pPr>
      <w:r>
        <w:t>5.2 Exercise standards</w:t>
      </w:r>
    </w:p>
    <w:p>
      <w:r>
        <w:rPr>
          <w:i w:val="0"/>
        </w:rPr>
        <w:t>Exercises should be varied and purposeful. A chapter should generally include:</w:t>
      </w:r>
    </w:p>
    <w:p>
      <w:pPr>
        <w:pStyle w:val="ListBullet"/>
        <w:ind w:left="346" w:hanging="173"/>
      </w:pPr>
      <w:r>
        <w:t>Concept identification and interpretation.</w:t>
      </w:r>
    </w:p>
    <w:p>
      <w:pPr>
        <w:pStyle w:val="ListBullet"/>
        <w:ind w:left="346" w:hanging="173"/>
      </w:pPr>
      <w:r>
        <w:t>Routine fluency problems.</w:t>
      </w:r>
    </w:p>
    <w:p>
      <w:pPr>
        <w:pStyle w:val="ListBullet"/>
        <w:ind w:left="346" w:hanging="173"/>
      </w:pPr>
      <w:r>
        <w:t>Explanation and error diagnosis.</w:t>
      </w:r>
    </w:p>
    <w:p>
      <w:pPr>
        <w:pStyle w:val="ListBullet"/>
        <w:ind w:left="346" w:hanging="173"/>
      </w:pPr>
      <w:r>
        <w:t>Derivation, construction, or proof where appropriate.</w:t>
      </w:r>
    </w:p>
    <w:p>
      <w:pPr>
        <w:pStyle w:val="ListBullet"/>
        <w:ind w:left="346" w:hanging="173"/>
      </w:pPr>
      <w:r>
        <w:t>Mixed practice in which the learner chooses the method.</w:t>
      </w:r>
    </w:p>
    <w:p>
      <w:pPr>
        <w:pStyle w:val="ListBullet"/>
        <w:ind w:left="346" w:hanging="173"/>
      </w:pPr>
      <w:r>
        <w:t>At least a small number of transfer tasks.</w:t>
      </w:r>
    </w:p>
    <w:p>
      <w:pPr>
        <w:pStyle w:val="ListBullet"/>
      </w:pPr>
      <w:r>
        <w:t>Representation construction and conversion where appropriate (for example, graph from equation, equation from graph, diagram from description, or explanation from a visual).</w:t>
      </w:r>
    </w:p>
    <w:p>
      <w:pPr>
        <w:pStyle w:val="ListBullet"/>
      </w:pPr>
      <w:r>
        <w:t>Model formulation and independent strategy selection where appropriate.</w:t>
      </w:r>
    </w:p>
    <w:p>
      <w:pPr>
        <w:pStyle w:val="ListBullet"/>
      </w:pPr>
      <w:r>
        <w:t>Proof construction, conjecture testing, counterexample finding, or proof critique at the level appropriate to the chapter.</w:t>
      </w:r>
    </w:p>
    <w:p>
      <w:pPr>
        <w:pStyle w:val="ListBullet"/>
        <w:ind w:left="346" w:hanging="173"/>
      </w:pPr>
      <w:r>
        <w:t>Cumulative questions that bring back important earlier concepts.</w:t>
      </w:r>
    </w:p>
    <w:p>
      <w:r>
        <w:rPr>
          <w:i w:val="0"/>
        </w:rPr>
        <w:t>No arbitrary percentage distribution is frozen at this stage; it should vary by topic. A proof chapter and an introductory arithmetic chapter require different exercise mixes.</w:t>
      </w:r>
    </w:p>
    <w:p>
      <w:pPr>
        <w:pStyle w:val="Heading2"/>
      </w:pPr>
      <w:r>
        <w:t>5.3 Solution standards</w:t>
      </w:r>
    </w:p>
    <w:p>
      <w:r>
        <w:rPr>
          <w:i w:val="0"/>
        </w:rPr>
        <w:t>A final answer alone is insufficient for an exercise designed to teach reasoning. Worked solutions should include the key decisions, assumptions, transformations, checks, and interpretation. For challenging questions, staged hints should be available before the full solution. Deliberate ambiguity, if part of the exercise, must be explained in the solution.</w:t>
      </w:r>
    </w:p>
    <w:p>
      <w:pPr>
        <w:pStyle w:val="Heading2"/>
      </w:pPr>
      <w:r>
        <w:t>5.4 Memory and review</w:t>
      </w:r>
    </w:p>
    <w:p>
      <w:r>
        <w:rPr>
          <w:i w:val="0"/>
        </w:rPr>
        <w:t>Use retrieval practice, cumulative review, and spaced revisiting as practical design tools. Intervals should be adjustable rather than presented as a universal schedule. The National Research Council’s proficiency framework supports combining conceptual understanding with procedural fluency and reasoning [1]; it does not dictate one exact review algorithm. The pilot should measure whether the review features help actual readers.</w:t>
      </w:r>
    </w:p>
    <w:p>
      <w:pPr>
        <w:pStyle w:val="Heading2"/>
      </w:pPr>
      <w:r>
        <w:t>5.5 Visual asset and figure standards</w:t>
      </w:r>
    </w:p>
    <w:p>
      <w:pPr/>
      <w:r>
        <w:t>Each chapter brief must include a visual inventory with a purpose for each major asset. Assets may include original graphs, coordinate diagrams, geometric constructions, worked visual proofs, annotated tables, plots, conceptual maps, or scientific schematics, as appropriate. There is no quota for decorative images and no assumption that one visual type fits every subject.</w:t>
      </w:r>
    </w:p>
    <w:p>
      <w:pPr/>
      <w:r>
        <w:t>For graph-heavy chapters, visuals must support both reading/interpreting graphs and learning to create or sketch graphs. Where warranted, use progressively more demanding examples and connect a graph to its equation, table, context, or properties. Students should also work in the reverse direction when mathematically meaningful.</w:t>
      </w:r>
    </w:p>
    <w:p>
      <w:pPr/>
      <w:r>
        <w:t>Figure QA must check mathematical correctness, labels, axes, scale, units, tick marks, domain and range, legends, assumptions, visual contrast, legibility, caption quality, accessibility description, source/licence status, and consistency with surrounding text. Diagrams used in proofs must be distinguished from the logical steps establishing the result. Any data-based chart must be traceable to its data source or explicitly identified as synthetic/illustrative.</w:t>
      </w:r>
    </w:p>
    <w:p>
      <w:pPr/>
      <w:r>
        <w:t>Visual generation is part of production, not a final decoration pass. Time must be reserved for creating, checking, revising, and inspecting every figure. If the necessary visual cannot be made accurately and readably, the chapter is not ready for release.</w:t>
      </w:r>
    </w:p>
    <w:p>
      <w:pPr>
        <w:pStyle w:val="Heading2"/>
      </w:pPr>
      <w:r>
        <w:t>5.6 Visualization-building protocol and embedded prompts</w:t>
      </w:r>
    </w:p>
    <w:p>
      <w:pPr/>
      <w:r>
        <w:t>Every chapter must consider whether and where readers need to build representations themselves. Where visual reasoning materially supports the topic, include several small, in-flow checkpoints near the relevant explanation; do not rely only on a detached exercise section that readers may skip. Each checkpoint should have a clear purpose and feedback path.</w:t>
      </w:r>
    </w:p>
    <w:p>
      <w:pPr/>
      <w:r>
        <w:t>Select from a progression suited to the concept:</w:t>
      </w:r>
    </w:p>
    <w:p>
      <w:pPr>
        <w:pStyle w:val="ListBullet"/>
      </w:pPr>
      <w:r>
        <w:t>Predict before reveal: Ask what a graph, diagram, shape, trend, or transformation should look like before showing the finished visual.</w:t>
      </w:r>
    </w:p>
    <w:p>
      <w:pPr>
        <w:pStyle w:val="ListBullet"/>
      </w:pPr>
      <w:r>
        <w:t>Read and annotate: Point out labels, relationships, invariants, axes, important regions, or relevant changes.</w:t>
      </w:r>
    </w:p>
    <w:p>
      <w:pPr>
        <w:pStyle w:val="ListBullet"/>
      </w:pPr>
      <w:r>
        <w:t>Complete: Provide a partial graph, construction, proof diagram, or table for the reader to finish.</w:t>
      </w:r>
    </w:p>
    <w:p>
      <w:pPr>
        <w:pStyle w:val="ListBullet"/>
      </w:pPr>
      <w:r>
        <w:t>Construct from another form: Sketch a graph from an equation, form an equation from a graph, draw a diagram from a verbal condition, or convert data into a suitable plot.</w:t>
      </w:r>
    </w:p>
    <w:p>
      <w:pPr>
        <w:pStyle w:val="ListBullet"/>
      </w:pPr>
      <w:r>
        <w:t>Reconstruct: Hide the worked visual and recreate its essential structure or relationships from memory or from the stated conditions.</w:t>
      </w:r>
    </w:p>
    <w:p>
      <w:pPr>
        <w:pStyle w:val="ListBullet"/>
      </w:pPr>
      <w:r>
        <w:t>Transform and transfer: Change a parameter, assumption, scale, orientation, or context; predict and explain what must change and what remains invariant.</w:t>
      </w:r>
    </w:p>
    <w:p>
      <w:pPr/>
      <w:r>
        <w:t>Use support deliberately. A lesson may begin with a complete annotated example, then remove selected labels or steps, then ask the learner to construct a new example independently. The aim is not to withhold useful visuals, nor to ban their use during problem solving. It is to help readers decide when a visual is useful and to create one when needed.</w:t>
      </w:r>
    </w:p>
    <w:p>
      <w:pPr/>
      <w:r>
        <w:t>Each prompt should be followed by an appropriate response route: a reference answer, an overlay or comparison, a worked construction, a hint, or a short explanation of acceptable alternatives. Authors should not equate a neat drawing with a correct argument, or a student's inability to form a vivid mental image with a lack of mathematical understanding. Keep accessibility and nonvisual routes in view.</w:t>
      </w:r>
    </w:p>
    <w:p>
      <w:pPr>
        <w:pStyle w:val="Heading2"/>
      </w:pPr>
      <w:r>
        <w:t>5.7 Problem-first design and productive struggle</w:t>
      </w:r>
    </w:p>
    <w:p>
      <w:pPr/>
      <w:r>
        <w:t>The chapter brief must state whether a problem-first opening is appropriate and why. For such a lesson, record the target idea, prerequisite knowledge, likely first attempts, common productive and unproductive strategies, staged hints, reveal point, and how the explanation will address the reader’s initial reasoning.</w:t>
      </w:r>
    </w:p>
    <w:p>
      <w:pPr/>
      <w:r>
        <w:t>A suitable opening challenge should meet five tests:</w:t>
      </w:r>
    </w:p>
    <w:p>
      <w:pPr>
        <w:pStyle w:val="ListBullet"/>
      </w:pPr>
      <w:r>
        <w:t>It is close enough to readers’ current knowledge that they can begin, but it exposes a meaningful gap that the new concept will resolve.</w:t>
      </w:r>
    </w:p>
    <w:p>
      <w:pPr>
        <w:pStyle w:val="ListBullet"/>
      </w:pPr>
      <w:r>
        <w:t>It admits partial progress, more than one plausible approach, or a reasoned prediction; it is not merely a trick question.</w:t>
      </w:r>
    </w:p>
    <w:p>
      <w:pPr>
        <w:pStyle w:val="ListBullet"/>
      </w:pPr>
      <w:r>
        <w:t>It asks learners to generate or compare ideas, not just guess the author’s hidden answer.</w:t>
      </w:r>
    </w:p>
    <w:p>
      <w:pPr>
        <w:pStyle w:val="ListBullet"/>
      </w:pPr>
      <w:r>
        <w:t>It provides reasonable time/space to think and hints or a direct route to instruction when needed.</w:t>
      </w:r>
    </w:p>
    <w:p>
      <w:pPr>
        <w:pStyle w:val="ListBullet"/>
      </w:pPr>
      <w:r>
        <w:t>The following explanation explicitly returns to the challenge and consolidates the mathematical idea.</w:t>
      </w:r>
    </w:p>
    <w:p>
      <w:pPr/>
      <w:r>
        <w:t>Productive struggle is not the same as unassisted confusion. For self-study, use a short prompt, an optional graduated hint, and a clearly signposted reveal. Never require repeated failure before a learner can see the explanation. Where prior knowledge is insufficient or exploratory search would be too demanding, begin with a small prerequisite refresher, a contrasting pair of examples, or a concise worked example, then return to a fresh attempt. Procedural fluency practice may appropriately use instruction or worked examples earlier than a conceptual discovery lesson.</w:t>
      </w:r>
    </w:p>
    <w:p>
      <w:pPr/>
      <w:r>
        <w:t>Do not describe the project method as experimentally validated. The chapter pilots should test whether readers engage with the opening task, understand the later explanation, and transfer the concept to a new problem. Revise the sequence if the task mainly creates frustration, activates irrelevant ideas, or consumes time without helping later understanding.</w:t>
      </w:r>
    </w:p>
    <w:p>
      <w:pPr>
        <w:pStyle w:val="Heading1"/>
      </w:pPr>
      <w:r>
        <w:t>6. Curriculum architecture</w:t>
      </w:r>
    </w:p>
    <w:p>
      <w:pPr>
        <w:pStyle w:val="Heading2"/>
      </w:pPr>
      <w:r>
        <w:t>6.1 Planned progression</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7"/>
              </w:rPr>
              <w:t>Pathway</w:t>
            </w:r>
          </w:p>
        </w:tc>
        <w:tc>
          <w:tcPr>
            <w:tcW w:type="dxa" w:w="4939"/>
            <w:shd w:fill="183153"/>
            <w:tcMar>
              <w:top w:w="85" w:type="dxa"/>
              <w:start w:w="95" w:type="dxa"/>
              <w:bottom w:w="85" w:type="dxa"/>
              <w:end w:w="95" w:type="dxa"/>
            </w:tcMar>
          </w:tcPr>
          <w:p>
            <w:pPr>
              <w:spacing w:after="0"/>
            </w:pPr>
            <w:r>
              <w:rPr>
                <w:b/>
                <w:color w:val="FFFFFF"/>
                <w:sz w:val="17"/>
              </w:rPr>
              <w:t>Provisional coverage</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Foundations</w:t>
            </w:r>
          </w:p>
        </w:tc>
        <w:tc>
          <w:tcPr>
            <w:tcW w:type="dxa" w:w="8064"/>
            <w:vAlign w:val="top"/>
            <w:tcMar>
              <w:top w:w="85" w:type="dxa"/>
              <w:start w:w="95" w:type="dxa"/>
              <w:bottom w:w="85" w:type="dxa"/>
              <w:end w:w="95" w:type="dxa"/>
            </w:tcMar>
          </w:tcPr>
          <w:p>
            <w:pPr>
              <w:spacing w:after="20" w:line="240" w:lineRule="auto"/>
            </w:pPr>
            <w:r>
              <w:rPr>
                <w:color w:val="202B36"/>
                <w:sz w:val="17"/>
              </w:rPr>
              <w:t>Quantities, number sense, arithmetic, place value, fractions, ratios, proportion, powers, roots, estimation, and measurement.</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Mathematical language</w:t>
            </w:r>
          </w:p>
        </w:tc>
        <w:tc>
          <w:tcPr>
            <w:tcW w:type="dxa" w:w="8064"/>
            <w:vAlign w:val="top"/>
            <w:tcMar>
              <w:top w:w="85" w:type="dxa"/>
              <w:start w:w="95" w:type="dxa"/>
              <w:bottom w:w="85" w:type="dxa"/>
              <w:end w:w="95" w:type="dxa"/>
            </w:tcMar>
            <w:shd w:fill="F4F7FA"/>
          </w:tcPr>
          <w:p>
            <w:pPr>
              <w:spacing w:after="20" w:line="240" w:lineRule="auto"/>
            </w:pPr>
            <w:r>
              <w:rPr>
                <w:color w:val="202B36"/>
                <w:sz w:val="17"/>
              </w:rPr>
              <w:t>Variables, expressions, equations, inequalities, functions, graphs, coordinate geometry, and algebraic transformations.</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Shape and periodicity</w:t>
            </w:r>
          </w:p>
        </w:tc>
        <w:tc>
          <w:tcPr>
            <w:tcW w:type="dxa" w:w="8064"/>
            <w:vAlign w:val="top"/>
            <w:tcMar>
              <w:top w:w="85" w:type="dxa"/>
              <w:start w:w="95" w:type="dxa"/>
              <w:bottom w:w="85" w:type="dxa"/>
              <w:end w:w="95" w:type="dxa"/>
            </w:tcMar>
          </w:tcPr>
          <w:p>
            <w:pPr>
              <w:spacing w:after="20" w:line="240" w:lineRule="auto"/>
            </w:pPr>
            <w:r>
              <w:rPr>
                <w:color w:val="202B36"/>
                <w:sz w:val="17"/>
              </w:rPr>
              <w:t>Geometry, trigonometry, spatial reasoning, vectors, and geometric proof.</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Reasoning</w:t>
            </w:r>
          </w:p>
        </w:tc>
        <w:tc>
          <w:tcPr>
            <w:tcW w:type="dxa" w:w="8064"/>
            <w:vAlign w:val="top"/>
            <w:tcMar>
              <w:top w:w="85" w:type="dxa"/>
              <w:start w:w="95" w:type="dxa"/>
              <w:bottom w:w="85" w:type="dxa"/>
              <w:end w:w="95" w:type="dxa"/>
            </w:tcMar>
            <w:shd w:fill="F4F7FA"/>
          </w:tcPr>
          <w:p>
            <w:pPr>
              <w:spacing w:after="20" w:line="240" w:lineRule="auto"/>
            </w:pPr>
            <w:r>
              <w:rPr>
                <w:color w:val="202B36"/>
                <w:sz w:val="17"/>
              </w:rPr>
              <w:t>Logic, sets, quantifiers, proof methods, counterexamples, and induction, introduced gradually and consolidated explicitly.</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University foundations</w:t>
            </w:r>
          </w:p>
        </w:tc>
        <w:tc>
          <w:tcPr>
            <w:tcW w:type="dxa" w:w="8064"/>
            <w:vAlign w:val="top"/>
            <w:tcMar>
              <w:top w:w="85" w:type="dxa"/>
              <w:start w:w="95" w:type="dxa"/>
              <w:bottom w:w="85" w:type="dxa"/>
              <w:end w:w="95" w:type="dxa"/>
            </w:tcMar>
          </w:tcPr>
          <w:p>
            <w:pPr>
              <w:spacing w:after="20" w:line="240" w:lineRule="auto"/>
            </w:pPr>
            <w:r>
              <w:rPr>
                <w:color w:val="202B36"/>
                <w:sz w:val="17"/>
              </w:rPr>
              <w:t>Calculus, linear algebra, discrete mathematics, probability, statistics, and mathematical modeling.</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Applied and advanced routes</w:t>
            </w:r>
          </w:p>
        </w:tc>
        <w:tc>
          <w:tcPr>
            <w:tcW w:type="dxa" w:w="8064"/>
            <w:vAlign w:val="top"/>
            <w:tcMar>
              <w:top w:w="85" w:type="dxa"/>
              <w:start w:w="95" w:type="dxa"/>
              <w:bottom w:w="85" w:type="dxa"/>
              <w:end w:w="95" w:type="dxa"/>
            </w:tcMar>
            <w:shd w:fill="F4F7FA"/>
          </w:tcPr>
          <w:p>
            <w:pPr>
              <w:spacing w:after="20" w:line="240" w:lineRule="auto"/>
            </w:pPr>
            <w:r>
              <w:rPr>
                <w:color w:val="202B36"/>
                <w:sz w:val="17"/>
              </w:rPr>
              <w:t>Multivariable calculus, differential equations, numerical methods, optimization, real analysis, abstract algebra, complex analysis, topology, measure theory, and selected specialized areas.</w:t>
            </w:r>
          </w:p>
        </w:tc>
      </w:tr>
    </w:tbl>
    <w:p>
      <w:pPr>
        <w:spacing w:after="20"/>
      </w:pPr>
    </w:p>
    <w:p>
      <w:r>
        <w:rPr>
          <w:i w:val="0"/>
        </w:rPr>
        <w:t>This is not yet a table of contents. The master curriculum map must decide prerequisites, overlaps, depth, and placement. Some subjects, such as logic, proof, vectors, and functions, should recur before their dedicated advanced treatments.</w:t>
      </w:r>
    </w:p>
    <w:p>
      <w:pPr>
        <w:pStyle w:val="Heading2"/>
      </w:pPr>
      <w:r>
        <w:t>6.2 Dependency map rules</w:t>
      </w:r>
    </w:p>
    <w:p>
      <w:r>
        <w:rPr>
          <w:i w:val="0"/>
        </w:rPr>
        <w:t>Every major topic must have a record of:</w:t>
      </w:r>
    </w:p>
    <w:p>
      <w:pPr>
        <w:pStyle w:val="ListBullet"/>
        <w:ind w:left="346" w:hanging="173"/>
      </w:pPr>
      <w:r>
        <w:t>Concept ID and canonical name.</w:t>
      </w:r>
    </w:p>
    <w:p>
      <w:pPr>
        <w:pStyle w:val="ListBullet"/>
        <w:ind w:left="346" w:hanging="173"/>
      </w:pPr>
      <w:r>
        <w:t>Learner-facing explanation of the concept.</w:t>
      </w:r>
    </w:p>
    <w:p>
      <w:pPr>
        <w:pStyle w:val="ListBullet"/>
        <w:ind w:left="346" w:hanging="173"/>
      </w:pPr>
      <w:r>
        <w:t>Prerequisite concepts.</w:t>
      </w:r>
    </w:p>
    <w:p>
      <w:pPr>
        <w:pStyle w:val="ListBullet"/>
        <w:ind w:left="346" w:hanging="173"/>
      </w:pPr>
      <w:r>
        <w:t>Learning outcomes.</w:t>
      </w:r>
    </w:p>
    <w:p>
      <w:pPr>
        <w:pStyle w:val="ListBullet"/>
        <w:ind w:left="346" w:hanging="173"/>
      </w:pPr>
      <w:r>
        <w:t>First introduction and later revisits.</w:t>
      </w:r>
    </w:p>
    <w:p>
      <w:pPr>
        <w:pStyle w:val="ListBullet"/>
        <w:ind w:left="346" w:hanging="173"/>
      </w:pPr>
      <w:r>
        <w:t>Definitions, theorems, formulas, and methods that belong to it.</w:t>
      </w:r>
    </w:p>
    <w:p>
      <w:pPr>
        <w:pStyle w:val="ListBullet"/>
        <w:ind w:left="346" w:hanging="173"/>
      </w:pPr>
      <w:r>
        <w:t>Common misconceptions and known fragile transitions.</w:t>
      </w:r>
    </w:p>
    <w:p>
      <w:pPr>
        <w:pStyle w:val="ListBullet"/>
        <w:ind w:left="346" w:hanging="173"/>
      </w:pPr>
      <w:r>
        <w:t>Exercise types and mastery evidence.</w:t>
      </w:r>
    </w:p>
    <w:p>
      <w:pPr>
        <w:pStyle w:val="ListBullet"/>
        <w:ind w:left="346" w:hanging="173"/>
      </w:pPr>
      <w:r>
        <w:t>Relevant science applications.</w:t>
      </w:r>
    </w:p>
    <w:p>
      <w:pPr>
        <w:pStyle w:val="ListBullet"/>
        <w:ind w:left="346" w:hanging="173"/>
      </w:pPr>
      <w:r>
        <w:t>Sources and verification status.</w:t>
      </w:r>
    </w:p>
    <w:p>
      <w:r>
        <w:rPr>
          <w:i w:val="0"/>
        </w:rPr>
        <w:t>A concept cannot be placed in a chapter only because it makes the local story convenient. Its prerequisites must be checked, and necessary prerequisite gaps must be handled explicitly.</w:t>
      </w:r>
    </w:p>
    <w:p>
      <w:pPr>
        <w:pStyle w:val="Heading2"/>
      </w:pPr>
      <w:r>
        <w:t>6.3 Flexible entry</w:t>
      </w:r>
    </w:p>
    <w:p>
      <w:r>
        <w:rPr>
          <w:i w:val="0"/>
        </w:rPr>
        <w:t>Readers should be able to use diagnostic questions and prerequisite links to enter at an appropriate point. A diagnostic must point to specific concepts needing repair, rather than labeling a learner globally as “bad at math.”</w:t>
      </w:r>
    </w:p>
    <w:p>
      <w:pPr>
        <w:pStyle w:val="Heading2"/>
      </w:pPr>
      <w:r>
        <w:t>6.4 Progression and review</w:t>
      </w:r>
    </w:p>
    <w:p>
      <w:r>
        <w:rPr>
          <w:i w:val="0"/>
        </w:rPr>
        <w:t>Important ideas may reappear at increasing levels of abstraction. Each return should add something: a more general definition, a proof, a new representation, a broader class of problems, or a new application. Repetition without additional purpose should be removed.</w:t>
      </w:r>
    </w:p>
    <w:p>
      <w:pPr>
        <w:pStyle w:val="Heading1"/>
      </w:pPr>
      <w:r>
        <w:t>7. Science companion series</w:t>
      </w:r>
    </w:p>
    <w:p>
      <w:pPr>
        <w:pStyle w:val="Heading2"/>
      </w:pPr>
      <w:r>
        <w:t>7.1 Purpose</w:t>
      </w:r>
    </w:p>
    <w:p>
      <w:r>
        <w:rPr>
          <w:i w:val="0"/>
        </w:rPr>
        <w:t>The companion collection shows how mathematics is used to describe, infer, predict, and model aspects of the world. It should make scientific applications more understandable without presenting mathematical manipulation as a substitute for science.</w:t>
      </w:r>
    </w:p>
    <w:p>
      <w:pPr>
        <w:pStyle w:val="Heading2"/>
      </w:pPr>
      <w:r>
        <w:t>7.2 Initial application domains</w:t>
      </w:r>
    </w:p>
    <w:p>
      <w:pPr>
        <w:pStyle w:val="ListBullet"/>
        <w:ind w:left="346" w:hanging="173"/>
      </w:pPr>
      <w:r>
        <w:t>Mathematical language of nature: Units, dimensions, scaling, estimation, graphs, measurement, uncertainty, and modeling.</w:t>
      </w:r>
    </w:p>
    <w:p>
      <w:pPr>
        <w:pStyle w:val="ListBullet"/>
        <w:ind w:left="346" w:hanging="173"/>
      </w:pPr>
      <w:r>
        <w:t>Physics: Mechanics, energy, momentum, oscillations, electricity, magnetism, waves, and later mathematical physics.</w:t>
      </w:r>
    </w:p>
    <w:p>
      <w:pPr>
        <w:pStyle w:val="ListBullet"/>
        <w:ind w:left="346" w:hanging="173"/>
      </w:pPr>
      <w:r>
        <w:t>Chemistry: Stoichiometry, concentration, logarithms and pH, kinetics, equilibrium, thermodynamics, spectroscopy, and quantum chemistry.</w:t>
      </w:r>
    </w:p>
    <w:p>
      <w:pPr>
        <w:pStyle w:val="ListBullet"/>
        <w:ind w:left="346" w:hanging="173"/>
      </w:pPr>
      <w:r>
        <w:t>Living systems: Growth models, probability, genetics, networks, epidemiology, statistics, and dynamical models.</w:t>
      </w:r>
    </w:p>
    <w:p>
      <w:pPr>
        <w:pStyle w:val="ListBullet"/>
        <w:ind w:left="346" w:hanging="173"/>
      </w:pPr>
      <w:r>
        <w:t>Advanced interdisciplinary modeling: Differential equations, linear algebra, probability, optimization, numerical methods, and other topics as prerequisite depth permits.</w:t>
      </w:r>
    </w:p>
    <w:p>
      <w:r>
        <w:rPr>
          <w:i w:val="0"/>
        </w:rPr>
        <w:t>This structure is illustrative. Actual books should be scoped only after the core dependency map identifies what mathematics learners will have available.</w:t>
      </w:r>
    </w:p>
    <w:p>
      <w:pPr>
        <w:pStyle w:val="Heading2"/>
      </w:pPr>
      <w:r>
        <w:t>7.3 Application chapter requirements</w:t>
      </w:r>
    </w:p>
    <w:p>
      <w:r>
        <w:rPr>
          <w:i w:val="0"/>
        </w:rPr>
        <w:t>Each application chapter must identify its mathematical prerequisites; define variables and units; state assumptions; distinguish idealized from measured quantities; show how the mathematics enters the model; interpret the result; examine at least one limitation or sensitivity where appropriate; and link back to the core book.</w:t>
      </w:r>
    </w:p>
    <w:p>
      <w:pPr>
        <w:pStyle w:val="Heading2"/>
      </w:pPr>
      <w:r>
        <w:t>7.4 Keep categories distinct</w:t>
      </w:r>
    </w:p>
    <w:p>
      <w:r>
        <w:rPr>
          <w:i w:val="0"/>
        </w:rPr>
        <w:t>Editorial review must distinguish a mathematical theorem from a physical law, an empirical correlation, a modeling assumption, a numerical estimate, and an intuitive interpretation. A correct algebraic derivation cannot by itself establish that a scientific model accurately describes reality.</w:t>
      </w:r>
    </w:p>
    <w:p>
      <w:pPr>
        <w:pStyle w:val="Heading1"/>
      </w:pPr>
      <w:r>
        <w:t>8. Mathematical and factual integrity system</w:t>
      </w:r>
    </w:p>
    <w:p>
      <w:pPr>
        <w:pStyle w:val="Heading2"/>
      </w:pPr>
      <w:r>
        <w:t>8.1 Governing rule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No important claim is considered verified merely because an AI system wrote it, repeated it, or generated a citation for it.</w:t>
            </w:r>
          </w:p>
          <w:p>
            <w:pPr>
              <w:spacing w:after="20"/>
            </w:pPr>
            <w:r>
              <w:rPr>
                <w:sz w:val="18"/>
              </w:rPr>
              <w:t>NIST’s Generative AI Profile identifies risks associated with generative AI and presents lifecycle-oriented risk-management guidance [2]. This project applies that general principle to mathematical and scientific educational publishing.</w:t>
            </w:r>
          </w:p>
        </w:tc>
      </w:tr>
    </w:tbl>
    <w:p>
      <w:pPr>
        <w:spacing w:after="20"/>
      </w:pPr>
    </w:p>
    <w:p>
      <w:pPr>
        <w:pStyle w:val="Heading2"/>
      </w:pPr>
      <w:r>
        <w:t>8.2 Verification lanes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4"/>
              </w:rPr>
              <w:t>Content type</w:t>
            </w:r>
          </w:p>
        </w:tc>
        <w:tc>
          <w:tcPr>
            <w:tcW w:type="dxa" w:w="3293"/>
            <w:shd w:fill="183153"/>
            <w:tcMar>
              <w:top w:w="85" w:type="dxa"/>
              <w:start w:w="95" w:type="dxa"/>
              <w:bottom w:w="85" w:type="dxa"/>
              <w:end w:w="95" w:type="dxa"/>
            </w:tcMar>
          </w:tcPr>
          <w:p>
            <w:pPr>
              <w:spacing w:after="0"/>
            </w:pPr>
            <w:r>
              <w:rPr>
                <w:b/>
                <w:color w:val="FFFFFF"/>
                <w:sz w:val="14"/>
              </w:rPr>
              <w:t>Required check</w:t>
            </w:r>
          </w:p>
        </w:tc>
        <w:tc>
          <w:tcPr>
            <w:tcW w:type="dxa" w:w="3293"/>
            <w:shd w:fill="183153"/>
            <w:tcMar>
              <w:top w:w="85" w:type="dxa"/>
              <w:start w:w="95" w:type="dxa"/>
              <w:bottom w:w="85" w:type="dxa"/>
              <w:end w:w="95" w:type="dxa"/>
            </w:tcMar>
          </w:tcPr>
          <w:p>
            <w:pPr>
              <w:spacing w:after="0"/>
            </w:pPr>
            <w:r>
              <w:rPr>
                <w:b/>
                <w:color w:val="FFFFFF"/>
                <w:sz w:val="14"/>
              </w:rPr>
              <w:t>What the check does not prove</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Algebraic identity or simplification</w:t>
            </w:r>
          </w:p>
        </w:tc>
        <w:tc>
          <w:tcPr>
            <w:tcW w:type="dxa" w:w="4608"/>
            <w:vAlign w:val="top"/>
            <w:tcMar>
              <w:top w:w="85" w:type="dxa"/>
              <w:start w:w="95" w:type="dxa"/>
              <w:bottom w:w="85" w:type="dxa"/>
              <w:end w:w="95" w:type="dxa"/>
            </w:tcMar>
          </w:tcPr>
          <w:p>
            <w:pPr>
              <w:spacing w:after="20" w:line="240" w:lineRule="auto"/>
            </w:pPr>
            <w:r>
              <w:rPr>
                <w:color w:val="202B36"/>
                <w:sz w:val="14"/>
              </w:rPr>
              <w:t>Independent symbolic or numerical checks plus a human derivation review</w:t>
            </w:r>
          </w:p>
        </w:tc>
        <w:tc>
          <w:tcPr>
            <w:tcW w:type="dxa" w:w="3744"/>
            <w:vAlign w:val="top"/>
            <w:tcMar>
              <w:top w:w="85" w:type="dxa"/>
              <w:start w:w="95" w:type="dxa"/>
              <w:bottom w:w="85" w:type="dxa"/>
              <w:end w:w="95" w:type="dxa"/>
            </w:tcMar>
          </w:tcPr>
          <w:p>
            <w:pPr>
              <w:spacing w:after="20" w:line="240" w:lineRule="auto"/>
            </w:pPr>
            <w:r>
              <w:rPr>
                <w:color w:val="202B36"/>
                <w:sz w:val="14"/>
              </w:rPr>
              <w:t>That a formula was appropriate for the original problem</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Numerical example or answer key</w:t>
            </w:r>
          </w:p>
        </w:tc>
        <w:tc>
          <w:tcPr>
            <w:tcW w:type="dxa" w:w="4608"/>
            <w:vAlign w:val="top"/>
            <w:tcMar>
              <w:top w:w="85" w:type="dxa"/>
              <w:start w:w="95" w:type="dxa"/>
              <w:bottom w:w="85" w:type="dxa"/>
              <w:end w:w="95" w:type="dxa"/>
            </w:tcMar>
            <w:shd w:fill="F4F7FA"/>
          </w:tcPr>
          <w:p>
            <w:pPr>
              <w:spacing w:after="20" w:line="240" w:lineRule="auto"/>
            </w:pPr>
            <w:r>
              <w:rPr>
                <w:color w:val="202B36"/>
                <w:sz w:val="14"/>
              </w:rPr>
              <w:t>Independently recompute; automated tests for repeated exercise families</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method or assumptions are correct</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Proof or theorem</w:t>
            </w:r>
          </w:p>
        </w:tc>
        <w:tc>
          <w:tcPr>
            <w:tcW w:type="dxa" w:w="4608"/>
            <w:vAlign w:val="top"/>
            <w:tcMar>
              <w:top w:w="85" w:type="dxa"/>
              <w:start w:w="95" w:type="dxa"/>
              <w:bottom w:w="85" w:type="dxa"/>
              <w:end w:w="95" w:type="dxa"/>
            </w:tcMar>
          </w:tcPr>
          <w:p>
            <w:pPr>
              <w:spacing w:after="20" w:line="240" w:lineRule="auto"/>
            </w:pPr>
            <w:r>
              <w:rPr>
                <w:color w:val="202B36"/>
                <w:sz w:val="14"/>
              </w:rPr>
              <w:t>Check definitions, quantifiers, assumptions, logical steps, counterexamples, and relevant cases; use formal proof checking where justified</w:t>
            </w:r>
          </w:p>
        </w:tc>
        <w:tc>
          <w:tcPr>
            <w:tcW w:type="dxa" w:w="3744"/>
            <w:vAlign w:val="top"/>
            <w:tcMar>
              <w:top w:w="85" w:type="dxa"/>
              <w:start w:w="95" w:type="dxa"/>
              <w:bottom w:w="85" w:type="dxa"/>
              <w:end w:w="95" w:type="dxa"/>
            </w:tcMar>
          </w:tcPr>
          <w:p>
            <w:pPr>
              <w:spacing w:after="20" w:line="240" w:lineRule="auto"/>
            </w:pPr>
            <w:r>
              <w:rPr>
                <w:color w:val="202B36"/>
                <w:sz w:val="14"/>
              </w:rPr>
              <w:t>That exposition is clear or the theorem is the intended one</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Units and physical dimensions</w:t>
            </w:r>
          </w:p>
        </w:tc>
        <w:tc>
          <w:tcPr>
            <w:tcW w:type="dxa" w:w="4608"/>
            <w:vAlign w:val="top"/>
            <w:tcMar>
              <w:top w:w="85" w:type="dxa"/>
              <w:start w:w="95" w:type="dxa"/>
              <w:bottom w:w="85" w:type="dxa"/>
              <w:end w:w="95" w:type="dxa"/>
            </w:tcMar>
            <w:shd w:fill="F4F7FA"/>
          </w:tcPr>
          <w:p>
            <w:pPr>
              <w:spacing w:after="20" w:line="240" w:lineRule="auto"/>
            </w:pPr>
            <w:r>
              <w:rPr>
                <w:color w:val="202B36"/>
                <w:sz w:val="14"/>
              </w:rPr>
              <w:t>Dimensional analysis and unit consistency</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a physical model is empirically valid</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Scientific model</w:t>
            </w:r>
          </w:p>
        </w:tc>
        <w:tc>
          <w:tcPr>
            <w:tcW w:type="dxa" w:w="4608"/>
            <w:vAlign w:val="top"/>
            <w:tcMar>
              <w:top w:w="85" w:type="dxa"/>
              <w:start w:w="95" w:type="dxa"/>
              <w:bottom w:w="85" w:type="dxa"/>
              <w:end w:w="95" w:type="dxa"/>
            </w:tcMar>
          </w:tcPr>
          <w:p>
            <w:pPr>
              <w:spacing w:after="20" w:line="240" w:lineRule="auto"/>
            </w:pPr>
            <w:r>
              <w:rPr>
                <w:color w:val="202B36"/>
                <w:sz w:val="14"/>
              </w:rPr>
              <w:t>Authoritative source check and subject-matter review; verify conditions and limitations</w:t>
            </w:r>
          </w:p>
        </w:tc>
        <w:tc>
          <w:tcPr>
            <w:tcW w:type="dxa" w:w="3744"/>
            <w:vAlign w:val="top"/>
            <w:tcMar>
              <w:top w:w="85" w:type="dxa"/>
              <w:start w:w="95" w:type="dxa"/>
              <w:bottom w:w="85" w:type="dxa"/>
              <w:end w:w="95" w:type="dxa"/>
            </w:tcMar>
          </w:tcPr>
          <w:p>
            <w:pPr>
              <w:spacing w:after="20" w:line="240" w:lineRule="auto"/>
            </w:pPr>
            <w:r>
              <w:rPr>
                <w:color w:val="202B36"/>
                <w:sz w:val="14"/>
              </w:rPr>
              <w:t>That every result is universal beyond the model’s domain</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Intuition or analogy</w:t>
            </w:r>
          </w:p>
        </w:tc>
        <w:tc>
          <w:tcPr>
            <w:tcW w:type="dxa" w:w="4608"/>
            <w:vAlign w:val="top"/>
            <w:tcMar>
              <w:top w:w="85" w:type="dxa"/>
              <w:start w:w="95" w:type="dxa"/>
              <w:bottom w:w="85" w:type="dxa"/>
              <w:end w:w="95" w:type="dxa"/>
            </w:tcMar>
            <w:shd w:fill="F4F7FA"/>
          </w:tcPr>
          <w:p>
            <w:pPr>
              <w:spacing w:after="20" w:line="240" w:lineRule="auto"/>
            </w:pPr>
            <w:r>
              <w:rPr>
                <w:color w:val="202B36"/>
                <w:sz w:val="14"/>
              </w:rPr>
              <w:t>Seek counterexamples, edge cases, alternate interpretations, and learner feedback</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analogy is a proof</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Historical or factual claim</w:t>
            </w:r>
          </w:p>
        </w:tc>
        <w:tc>
          <w:tcPr>
            <w:tcW w:type="dxa" w:w="4608"/>
            <w:vAlign w:val="top"/>
            <w:tcMar>
              <w:top w:w="85" w:type="dxa"/>
              <w:start w:w="95" w:type="dxa"/>
              <w:bottom w:w="85" w:type="dxa"/>
              <w:end w:w="95" w:type="dxa"/>
            </w:tcMar>
          </w:tcPr>
          <w:p>
            <w:pPr>
              <w:spacing w:after="20" w:line="240" w:lineRule="auto"/>
            </w:pPr>
            <w:r>
              <w:rPr>
                <w:color w:val="202B36"/>
                <w:sz w:val="14"/>
              </w:rPr>
              <w:t>Primary or authoritative source where possible; record exact support</w:t>
            </w:r>
          </w:p>
        </w:tc>
        <w:tc>
          <w:tcPr>
            <w:tcW w:type="dxa" w:w="3744"/>
            <w:vAlign w:val="top"/>
            <w:tcMar>
              <w:top w:w="85" w:type="dxa"/>
              <w:start w:w="95" w:type="dxa"/>
              <w:bottom w:w="85" w:type="dxa"/>
              <w:end w:w="95" w:type="dxa"/>
            </w:tcMar>
          </w:tcPr>
          <w:p>
            <w:pPr>
              <w:spacing w:after="20" w:line="240" w:lineRule="auto"/>
            </w:pPr>
            <w:r>
              <w:rPr>
                <w:color w:val="202B36"/>
                <w:sz w:val="14"/>
              </w:rPr>
              <w:t>That the source has been interpreted correctly without review</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Citation or quotation</w:t>
            </w:r>
          </w:p>
        </w:tc>
        <w:tc>
          <w:tcPr>
            <w:tcW w:type="dxa" w:w="4608"/>
            <w:vAlign w:val="top"/>
            <w:tcMar>
              <w:top w:w="85" w:type="dxa"/>
              <w:start w:w="95" w:type="dxa"/>
              <w:bottom w:w="85" w:type="dxa"/>
              <w:end w:w="95" w:type="dxa"/>
            </w:tcMar>
            <w:shd w:fill="F4F7FA"/>
          </w:tcPr>
          <w:p>
            <w:pPr>
              <w:spacing w:after="20" w:line="240" w:lineRule="auto"/>
            </w:pPr>
            <w:r>
              <w:rPr>
                <w:color w:val="202B36"/>
                <w:sz w:val="14"/>
              </w:rPr>
              <w:t>Open the source and verify the exact relevant passage, edition, page or section</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source supports more than the verified claim</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Learner-facing explanation</w:t>
            </w:r>
          </w:p>
        </w:tc>
        <w:tc>
          <w:tcPr>
            <w:tcW w:type="dxa" w:w="4608"/>
            <w:vAlign w:val="top"/>
            <w:tcMar>
              <w:top w:w="85" w:type="dxa"/>
              <w:start w:w="95" w:type="dxa"/>
              <w:bottom w:w="85" w:type="dxa"/>
              <w:end w:w="95" w:type="dxa"/>
            </w:tcMar>
          </w:tcPr>
          <w:p>
            <w:pPr>
              <w:spacing w:after="20" w:line="240" w:lineRule="auto"/>
            </w:pPr>
            <w:r>
              <w:rPr>
                <w:color w:val="202B36"/>
                <w:sz w:val="14"/>
              </w:rPr>
              <w:t>Independent pedagogical critique and pilot testing</w:t>
            </w:r>
          </w:p>
        </w:tc>
        <w:tc>
          <w:tcPr>
            <w:tcW w:type="dxa" w:w="3744"/>
            <w:vAlign w:val="top"/>
            <w:tcMar>
              <w:top w:w="85" w:type="dxa"/>
              <w:start w:w="95" w:type="dxa"/>
              <w:bottom w:w="85" w:type="dxa"/>
              <w:end w:w="95" w:type="dxa"/>
            </w:tcMar>
          </w:tcPr>
          <w:p>
            <w:pPr>
              <w:spacing w:after="20" w:line="240" w:lineRule="auto"/>
            </w:pPr>
            <w:r>
              <w:rPr>
                <w:color w:val="202B36"/>
                <w:sz w:val="14"/>
              </w:rPr>
              <w:t>That one successful reader represents every audience</w:t>
            </w:r>
          </w:p>
        </w:tc>
      </w:tr>
    </w:tbl>
    <w:p>
      <w:pPr>
        <w:spacing w:after="20"/>
      </w:pPr>
    </w:p>
    <w:p>
      <w:pPr>
        <w:pStyle w:val="Heading2"/>
      </w:pPr>
      <w:r>
        <w:t>8.3 Mathematical checking toolkit</w:t>
      </w:r>
    </w:p>
    <w:p>
      <w:pPr>
        <w:pStyle w:val="ListBullet"/>
        <w:ind w:left="346" w:hanging="173"/>
      </w:pPr>
      <w:r>
        <w:t>Hand derivation: Essential for understanding the logic and assumptions.</w:t>
      </w:r>
    </w:p>
    <w:p>
      <w:pPr>
        <w:pStyle w:val="ListBullet"/>
        <w:ind w:left="346" w:hanging="173"/>
      </w:pPr>
      <w:r>
        <w:t>Computer algebra: A tool such as SymPy can test symbolic transformations and calculations within the tested domain.</w:t>
      </w:r>
    </w:p>
    <w:p>
      <w:pPr>
        <w:pStyle w:val="ListBullet"/>
        <w:ind w:left="346" w:hanging="173"/>
      </w:pPr>
      <w:r>
        <w:t>Numerical testing: Substitute carefully chosen values, including boundary and edge cases.</w:t>
      </w:r>
    </w:p>
    <w:p>
      <w:pPr>
        <w:pStyle w:val="ListBullet"/>
        <w:ind w:left="346" w:hanging="173"/>
      </w:pPr>
      <w:r>
        <w:t>Unit and dimensional checks: Useful for detecting inconsistencies in physical formulas.</w:t>
      </w:r>
    </w:p>
    <w:p>
      <w:pPr>
        <w:pStyle w:val="ListBullet"/>
        <w:ind w:left="346" w:hanging="173"/>
      </w:pPr>
      <w:r>
        <w:t>Code-based exercise tests: Recompute answers over many generated inputs when exercises have reliable programmatic specifications.</w:t>
      </w:r>
    </w:p>
    <w:p>
      <w:pPr>
        <w:pStyle w:val="ListBullet"/>
        <w:ind w:left="346" w:hanging="173"/>
      </w:pPr>
      <w:r>
        <w:t>Formal proof checking: Consider Lean and its mathematical ecosystem for selected proof-heavy material when the formalization cost is justified [6].</w:t>
      </w:r>
    </w:p>
    <w:p>
      <w:r>
        <w:rPr>
          <w:i w:val="0"/>
        </w:rPr>
        <w:t>A tool’s output is evidence only within its scope. A symbolic algebra system can confirm an equivalence under assumptions but does not validate the origin of a model. Numerical samples can detect errors but do not prove a universal identity. A proof assistant checks a formal statement and proof, so both must match the intended mathematics.</w:t>
      </w:r>
    </w:p>
    <w:p>
      <w:pPr>
        <w:pStyle w:val="Heading2"/>
      </w:pPr>
      <w:r>
        <w:t>8.4 Claim ledger</w:t>
      </w:r>
    </w:p>
    <w:p>
      <w:r>
        <w:rPr>
          <w:i w:val="0"/>
        </w:rPr>
        <w:t>For every substantial chapter, keep a ledger containing claim ID, exact claim, type, assumptions, derivation or evidence, source and precise locator where applicable, verification methods, reviewer, status, date, and unresolved issues. Claims that are routine and directly derived may need a lighter record than high-risk scientific or advanced claims, but every chapter requires a documented review.</w:t>
      </w:r>
    </w:p>
    <w:p>
      <w:pPr>
        <w:pStyle w:val="Heading2"/>
      </w:pPr>
      <w:r>
        <w:t>8.5 AI drafting rules</w:t>
      </w:r>
    </w:p>
    <w:p>
      <w:r>
        <w:rPr>
          <w:i w:val="0"/>
        </w:rPr>
        <w:t>AI may help draft prose, devise examples, generate candidate exercises, identify missing cases, suggest source leads, and create automated checks. It must not be treated as the final verifier. The workflow should preserve source provenance, use task-specific tests, and keep a human review route. Evaluation should be repeatable, specific to the task, and updated as errors are found, consistent with general evaluation guidance for variable AI outputs [3].</w:t>
      </w:r>
    </w:p>
    <w:p>
      <w:r>
        <w:rPr>
          <w:i w:val="0"/>
        </w:rPr>
        <w:t>The process must not fabricate references, quotations, page numbers, theorem names, proof results, or claimed review outcomes. If the evidence cannot be checked, mark the content UNVERIFIED and do not publish it as established fact.</w:t>
      </w:r>
    </w:p>
    <w:p>
      <w:pPr>
        <w:pStyle w:val="Heading2"/>
      </w:pPr>
      <w:r>
        <w:t>8.6 Independence of review</w:t>
      </w:r>
    </w:p>
    <w:p>
      <w:r>
        <w:rPr>
          <w:i w:val="0"/>
        </w:rPr>
        <w:t>A second pass by the same model is useful as a challenge exercise, but it is not independent evidence. High-risk claims should be checked through genuinely different routes: manual derivation, computational verification, trusted sources, another qualified reviewer, or formalization where appropriate.</w:t>
      </w:r>
    </w:p>
    <w:p>
      <w:pPr>
        <w:pStyle w:val="Heading1"/>
      </w:pPr>
      <w:r>
        <w:t>9. Source and copyright policy</w:t>
      </w:r>
    </w:p>
    <w:p>
      <w:pPr>
        <w:pStyle w:val="Heading2"/>
      </w:pPr>
      <w:r>
        <w:t>9.1 Source hierarchy</w:t>
      </w:r>
    </w:p>
    <w:p>
      <w:pPr>
        <w:pStyle w:val="ListBullet"/>
        <w:ind w:left="346" w:hanging="173"/>
      </w:pPr>
      <w:r>
        <w:t>Original papers, authoritative standards, official mathematical documentation, or primary records for claims that require them.</w:t>
      </w:r>
    </w:p>
    <w:p>
      <w:pPr>
        <w:pStyle w:val="ListBullet"/>
        <w:ind w:left="346" w:hanging="173"/>
      </w:pPr>
      <w:r>
        <w:t>Established textbooks and university-published materials for explanations, definitions, standard derivations, and curricular context.</w:t>
      </w:r>
    </w:p>
    <w:p>
      <w:pPr>
        <w:pStyle w:val="ListBullet"/>
        <w:ind w:left="346" w:hanging="173"/>
      </w:pPr>
      <w:r>
        <w:t>Reputable review articles and professional educational resources for synthesis.</w:t>
      </w:r>
    </w:p>
    <w:p>
      <w:pPr>
        <w:pStyle w:val="ListBullet"/>
        <w:ind w:left="346" w:hanging="173"/>
      </w:pPr>
      <w:r>
        <w:t>General web pages as discovery aids, not as final authority for important technical claims.</w:t>
      </w:r>
    </w:p>
    <w:p>
      <w:r>
        <w:rPr>
          <w:i w:val="0"/>
        </w:rPr>
        <w:t>A source being reputable does not guarantee that every statement in it applies to our context. Check the relevant passage and scope.</w:t>
      </w:r>
    </w:p>
    <w:p>
      <w:pPr>
        <w:pStyle w:val="Heading2"/>
      </w:pPr>
      <w:r>
        <w:t>9.2 Record exact support</w:t>
      </w:r>
    </w:p>
    <w:p>
      <w:r>
        <w:rPr>
          <w:i w:val="0"/>
        </w:rPr>
        <w:t>For each sourced claim, preserve title, author or organization, edition or version, publication date where relevant, stable URL or DOI, exact page/section/figure where available, access date for changing webpages, and the claim supported. Distinguish a source used for verification from one used only to discover another source.</w:t>
      </w:r>
    </w:p>
    <w:p>
      <w:pPr>
        <w:pStyle w:val="Heading2"/>
      </w:pPr>
      <w:r>
        <w:t>9.3 Originality and permissions</w:t>
      </w:r>
    </w:p>
    <w:p>
      <w:r>
        <w:rPr>
          <w:i w:val="0"/>
        </w:rPr>
        <w:t>Create original explanations, exercises, examples, diagrams, and chapter structure. Cite sources for facts and intellectual context, but do not use citation as permission to copy protected prose, illustrations, or substantial problem sets. Track licences and permissions before reusing material. Any direct quotation must be necessary, attributed, and checked against the applicable copyright and permissions policy.</w:t>
      </w:r>
    </w:p>
    <w:p>
      <w:pPr>
        <w:pStyle w:val="Heading2"/>
      </w:pPr>
      <w:r>
        <w:t>9.4 Reference management</w:t>
      </w:r>
    </w:p>
    <w:p>
      <w:r>
        <w:rPr>
          <w:i w:val="0"/>
        </w:rPr>
        <w:t>Use a persistent bibliography and stable source IDs. Zotero or a comparable reference manager can store source metadata and PDFs; the project repository should hold a source-to-claim index so citations remain meaningful when manuscripts move between tools.</w:t>
      </w:r>
    </w:p>
    <w:p>
      <w:pPr>
        <w:pStyle w:val="Heading1"/>
      </w:pPr>
      <w:r>
        <w:t>10. Review gates and defect severity</w:t>
      </w:r>
    </w:p>
    <w:p>
      <w:r>
        <w:rPr>
          <w:i w:val="0"/>
        </w:rPr>
        <w:t>A chapter moves through explicit gates. A green status means the defined checks were completed and recorded; it does not mean that errors are metaphysically impossible.</w:t>
      </w:r>
    </w:p>
    <w:p>
      <w:pPr>
        <w:pStyle w:val="Heading2"/>
      </w:pPr>
      <w:r>
        <w:t>10.1 Production gates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6"/>
              </w:rPr>
              <w:t>Gate</w:t>
            </w:r>
          </w:p>
        </w:tc>
        <w:tc>
          <w:tcPr>
            <w:tcW w:type="dxa" w:w="4939"/>
            <w:shd w:fill="183153"/>
            <w:tcMar>
              <w:top w:w="85" w:type="dxa"/>
              <w:start w:w="95" w:type="dxa"/>
              <w:bottom w:w="85" w:type="dxa"/>
              <w:end w:w="95" w:type="dxa"/>
            </w:tcMar>
          </w:tcPr>
          <w:p>
            <w:pPr>
              <w:spacing w:after="0"/>
            </w:pPr>
            <w:r>
              <w:rPr>
                <w:b/>
                <w:color w:val="FFFFFF"/>
                <w:sz w:val="16"/>
              </w:rPr>
              <w:t>Release requirement</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A — Scope approved</w:t>
            </w:r>
          </w:p>
        </w:tc>
        <w:tc>
          <w:tcPr>
            <w:tcW w:type="dxa" w:w="7920"/>
            <w:vAlign w:val="top"/>
            <w:tcMar>
              <w:top w:w="85" w:type="dxa"/>
              <w:start w:w="95" w:type="dxa"/>
              <w:bottom w:w="85" w:type="dxa"/>
              <w:end w:w="95" w:type="dxa"/>
            </w:tcMar>
          </w:tcPr>
          <w:p>
            <w:pPr>
              <w:spacing w:after="20" w:line="240" w:lineRule="auto"/>
            </w:pPr>
            <w:r>
              <w:rPr>
                <w:color w:val="202B36"/>
                <w:sz w:val="16"/>
              </w:rPr>
              <w:t>Learning outcomes, prerequisites, topic boundaries, and sources are identified.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B — Draft complete</w:t>
            </w:r>
          </w:p>
        </w:tc>
        <w:tc>
          <w:tcPr>
            <w:tcW w:type="dxa" w:w="7920"/>
            <w:vAlign w:val="top"/>
            <w:tcMar>
              <w:top w:w="85" w:type="dxa"/>
              <w:start w:w="95" w:type="dxa"/>
              <w:bottom w:w="85" w:type="dxa"/>
              <w:end w:w="95" w:type="dxa"/>
            </w:tcMar>
            <w:shd w:fill="F4F7FA"/>
          </w:tcPr>
          <w:p>
            <w:pPr>
              <w:spacing w:after="20" w:line="240" w:lineRule="auto"/>
            </w:pPr>
            <w:r>
              <w:rPr>
                <w:color w:val="202B36"/>
                <w:sz w:val="16"/>
              </w:rPr>
              <w:t>All required sections and exercises exist; incomplete sections are visibly marked.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C — Mathematical verification</w:t>
            </w:r>
          </w:p>
        </w:tc>
        <w:tc>
          <w:tcPr>
            <w:tcW w:type="dxa" w:w="7920"/>
            <w:vAlign w:val="top"/>
            <w:tcMar>
              <w:top w:w="85" w:type="dxa"/>
              <w:start w:w="95" w:type="dxa"/>
              <w:bottom w:w="85" w:type="dxa"/>
              <w:end w:w="95" w:type="dxa"/>
            </w:tcMar>
          </w:tcPr>
          <w:p>
            <w:pPr>
              <w:spacing w:after="20" w:line="240" w:lineRule="auto"/>
            </w:pPr>
            <w:r>
              <w:rPr>
                <w:color w:val="202B36"/>
                <w:sz w:val="16"/>
              </w:rPr>
              <w:t>Derivations, calculations, assumptions, symbols, units, and answer keys checked.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D — Pedagogical review</w:t>
            </w:r>
          </w:p>
        </w:tc>
        <w:tc>
          <w:tcPr>
            <w:tcW w:type="dxa" w:w="7920"/>
            <w:vAlign w:val="top"/>
            <w:tcMar>
              <w:top w:w="85" w:type="dxa"/>
              <w:start w:w="95" w:type="dxa"/>
              <w:bottom w:w="85" w:type="dxa"/>
              <w:end w:w="95" w:type="dxa"/>
            </w:tcMar>
            <w:shd w:fill="F4F7FA"/>
          </w:tcPr>
          <w:p>
            <w:pPr>
              <w:spacing w:after="20" w:line="240" w:lineRule="auto"/>
            </w:pPr>
            <w:r>
              <w:rPr>
                <w:color w:val="202B36"/>
                <w:sz w:val="16"/>
              </w:rPr>
              <w:t>Intuition, representations, transitions, misconceptions, practice, and independent usability reviewed.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E — Scientific/reference review</w:t>
            </w:r>
          </w:p>
        </w:tc>
        <w:tc>
          <w:tcPr>
            <w:tcW w:type="dxa" w:w="7920"/>
            <w:vAlign w:val="top"/>
            <w:tcMar>
              <w:top w:w="85" w:type="dxa"/>
              <w:start w:w="95" w:type="dxa"/>
              <w:bottom w:w="85" w:type="dxa"/>
              <w:end w:w="95" w:type="dxa"/>
            </w:tcMar>
          </w:tcPr>
          <w:p>
            <w:pPr>
              <w:spacing w:after="20" w:line="240" w:lineRule="auto"/>
            </w:pPr>
            <w:r>
              <w:rPr>
                <w:color w:val="202B36"/>
                <w:sz w:val="16"/>
              </w:rPr>
              <w:t>Scientific claims, source support, licenses, and citations checked as applicable.</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F — Reader test</w:t>
            </w:r>
          </w:p>
        </w:tc>
        <w:tc>
          <w:tcPr>
            <w:tcW w:type="dxa" w:w="7920"/>
            <w:vAlign w:val="top"/>
            <w:tcMar>
              <w:top w:w="85" w:type="dxa"/>
              <w:start w:w="95" w:type="dxa"/>
              <w:bottom w:w="85" w:type="dxa"/>
              <w:end w:w="95" w:type="dxa"/>
            </w:tcMar>
            <w:shd w:fill="F4F7FA"/>
          </w:tcPr>
          <w:p>
            <w:pPr>
              <w:spacing w:after="20" w:line="240" w:lineRule="auto"/>
            </w:pPr>
            <w:r>
              <w:rPr>
                <w:color w:val="202B36"/>
                <w:sz w:val="16"/>
              </w:rPr>
              <w:t>A sample learner can navigate the chapter and complete the targeted tasks; issues are logged.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G — Editorial freeze</w:t>
            </w:r>
          </w:p>
        </w:tc>
        <w:tc>
          <w:tcPr>
            <w:tcW w:type="dxa" w:w="7920"/>
            <w:vAlign w:val="top"/>
            <w:tcMar>
              <w:top w:w="85" w:type="dxa"/>
              <w:start w:w="95" w:type="dxa"/>
              <w:bottom w:w="85" w:type="dxa"/>
              <w:end w:w="95" w:type="dxa"/>
            </w:tcMar>
          </w:tcPr>
          <w:p>
            <w:pPr>
              <w:spacing w:after="20" w:line="240" w:lineRule="auto"/>
            </w:pPr>
            <w:r>
              <w:rPr>
                <w:color w:val="202B36"/>
                <w:sz w:val="16"/>
              </w:rPr>
              <w:t>Corrections are incorporated, cross-references checked, change record updated, and publication files rendered and inspected.</w:t>
            </w:r>
          </w:p>
        </w:tc>
      </w:tr>
    </w:tbl>
    <w:p>
      <w:pPr>
        <w:spacing w:after="20"/>
      </w:pPr>
    </w:p>
    <w:p>
      <w:r>
        <w:rPr>
          <w:i w:val="0"/>
        </w:rPr>
        <w:t>A chapter should not skip a gate silently. If a gate is not applicable, record the reason.</w:t>
      </w:r>
    </w:p>
    <w:p>
      <w:pPr>
        <w:pStyle w:val="Heading2"/>
      </w:pPr>
      <w:r>
        <w:t>10.2 Severity levels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5"/>
              </w:rPr>
              <w:t>Severity</w:t>
            </w:r>
          </w:p>
        </w:tc>
        <w:tc>
          <w:tcPr>
            <w:tcW w:type="dxa" w:w="3293"/>
            <w:shd w:fill="183153"/>
            <w:tcMar>
              <w:top w:w="85" w:type="dxa"/>
              <w:start w:w="95" w:type="dxa"/>
              <w:bottom w:w="85" w:type="dxa"/>
              <w:end w:w="95" w:type="dxa"/>
            </w:tcMar>
          </w:tcPr>
          <w:p>
            <w:pPr>
              <w:spacing w:after="0"/>
            </w:pPr>
            <w:r>
              <w:rPr>
                <w:b/>
                <w:color w:val="FFFFFF"/>
                <w:sz w:val="15"/>
              </w:rPr>
              <w:t>Meaning</w:t>
            </w:r>
          </w:p>
        </w:tc>
        <w:tc>
          <w:tcPr>
            <w:tcW w:type="dxa" w:w="3293"/>
            <w:shd w:fill="183153"/>
            <w:tcMar>
              <w:top w:w="85" w:type="dxa"/>
              <w:start w:w="95" w:type="dxa"/>
              <w:bottom w:w="85" w:type="dxa"/>
              <w:end w:w="95" w:type="dxa"/>
            </w:tcMar>
          </w:tcPr>
          <w:p>
            <w:pPr>
              <w:spacing w:after="0"/>
            </w:pPr>
            <w:r>
              <w:rPr>
                <w:b/>
                <w:color w:val="FFFFFF"/>
                <w:sz w:val="15"/>
              </w:rPr>
              <w:t>Required response</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S0 — Critical</w:t>
            </w:r>
          </w:p>
        </w:tc>
        <w:tc>
          <w:tcPr>
            <w:tcW w:type="dxa" w:w="4968"/>
            <w:vAlign w:val="top"/>
            <w:tcMar>
              <w:top w:w="85" w:type="dxa"/>
              <w:start w:w="95" w:type="dxa"/>
              <w:bottom w:w="85" w:type="dxa"/>
              <w:end w:w="95" w:type="dxa"/>
            </w:tcMar>
          </w:tcPr>
          <w:p>
            <w:pPr>
              <w:spacing w:after="20" w:line="240" w:lineRule="auto"/>
            </w:pPr>
            <w:r>
              <w:rPr>
                <w:color w:val="202B36"/>
                <w:sz w:val="15"/>
              </w:rPr>
              <w:t>False theorem, materially wrong scientific claim, dangerous misconception, or error invalidating a major learning outcome.</w:t>
            </w:r>
          </w:p>
        </w:tc>
        <w:tc>
          <w:tcPr>
            <w:tcW w:type="dxa" w:w="3816"/>
            <w:vAlign w:val="top"/>
            <w:tcMar>
              <w:top w:w="85" w:type="dxa"/>
              <w:start w:w="95" w:type="dxa"/>
              <w:bottom w:w="85" w:type="dxa"/>
              <w:end w:w="95" w:type="dxa"/>
            </w:tcMar>
          </w:tcPr>
          <w:p>
            <w:pPr>
              <w:spacing w:after="20" w:line="240" w:lineRule="auto"/>
            </w:pPr>
            <w:r>
              <w:rPr>
                <w:color w:val="202B36"/>
                <w:sz w:val="15"/>
              </w:rPr>
              <w:t>Block release; correct and recheck all dependent content.</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S1 — Major</w:t>
            </w:r>
          </w:p>
        </w:tc>
        <w:tc>
          <w:tcPr>
            <w:tcW w:type="dxa" w:w="4968"/>
            <w:vAlign w:val="top"/>
            <w:tcMar>
              <w:top w:w="85" w:type="dxa"/>
              <w:start w:w="95" w:type="dxa"/>
              <w:bottom w:w="85" w:type="dxa"/>
              <w:end w:w="95" w:type="dxa"/>
            </w:tcMar>
            <w:shd w:fill="F4F7FA"/>
          </w:tcPr>
          <w:p>
            <w:pPr>
              <w:spacing w:after="20" w:line="240" w:lineRule="auto"/>
            </w:pPr>
            <w:r>
              <w:rPr>
                <w:color w:val="202B36"/>
                <w:sz w:val="15"/>
              </w:rPr>
              <w:t>Incorrect derivation, wrong answer key, omitted essential assumption, misleading analogy, or broken prerequisite preventing learning.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Block chapter approval until corrected.</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S2 — Moderate</w:t>
            </w:r>
          </w:p>
        </w:tc>
        <w:tc>
          <w:tcPr>
            <w:tcW w:type="dxa" w:w="4968"/>
            <w:vAlign w:val="top"/>
            <w:tcMar>
              <w:top w:w="85" w:type="dxa"/>
              <w:start w:w="95" w:type="dxa"/>
              <w:bottom w:w="85" w:type="dxa"/>
              <w:end w:w="95" w:type="dxa"/>
            </w:tcMar>
          </w:tcPr>
          <w:p>
            <w:pPr>
              <w:spacing w:after="20" w:line="240" w:lineRule="auto"/>
            </w:pPr>
            <w:r>
              <w:rPr>
                <w:color w:val="202B36"/>
                <w:sz w:val="15"/>
              </w:rPr>
              <w:t>Ambiguous wording, incomplete explanation, weak example, missing useful edge case, or inconsistent notation that can mislead.</w:t>
            </w:r>
          </w:p>
        </w:tc>
        <w:tc>
          <w:tcPr>
            <w:tcW w:type="dxa" w:w="3816"/>
            <w:vAlign w:val="top"/>
            <w:tcMar>
              <w:top w:w="85" w:type="dxa"/>
              <w:start w:w="95" w:type="dxa"/>
              <w:bottom w:w="85" w:type="dxa"/>
              <w:end w:w="95" w:type="dxa"/>
            </w:tcMar>
          </w:tcPr>
          <w:p>
            <w:pPr>
              <w:spacing w:after="20" w:line="240" w:lineRule="auto"/>
            </w:pPr>
            <w:r>
              <w:rPr>
                <w:color w:val="202B36"/>
                <w:sz w:val="15"/>
              </w:rPr>
              <w:t>Resolve before publication or explicitly document an approved deferral.</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S3 — Minor</w:t>
            </w:r>
          </w:p>
        </w:tc>
        <w:tc>
          <w:tcPr>
            <w:tcW w:type="dxa" w:w="4968"/>
            <w:vAlign w:val="top"/>
            <w:tcMar>
              <w:top w:w="85" w:type="dxa"/>
              <w:start w:w="95" w:type="dxa"/>
              <w:bottom w:w="85" w:type="dxa"/>
              <w:end w:w="95" w:type="dxa"/>
            </w:tcMar>
            <w:shd w:fill="F4F7FA"/>
          </w:tcPr>
          <w:p>
            <w:pPr>
              <w:spacing w:after="20" w:line="240" w:lineRule="auto"/>
            </w:pPr>
            <w:r>
              <w:rPr>
                <w:color w:val="202B36"/>
                <w:sz w:val="15"/>
              </w:rPr>
              <w:t>Typographical, formatting, or stylistic issue that does not change meaning.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Correct during editorial review; batch safe low-risk edits.</w:t>
            </w:r>
          </w:p>
        </w:tc>
      </w:tr>
    </w:tbl>
    <w:p>
      <w:pPr>
        <w:spacing w:after="20"/>
      </w:pPr>
    </w:p>
    <w:p>
      <w:r>
        <w:rPr>
          <w:i w:val="0"/>
        </w:rPr>
        <w:t>Any correction to a mathematical statement, derivation, scientific assumption, or answer key triggers a regression check of related examples, exercises, solutions, and cross-references.</w:t>
      </w:r>
    </w:p>
    <w:p>
      <w:pPr>
        <w:pStyle w:val="Heading1"/>
      </w:pPr>
      <w:r>
        <w:t>11. Manuscript workflow and version control</w:t>
      </w:r>
    </w:p>
    <w:p>
      <w:pPr>
        <w:pStyle w:val="Heading2"/>
      </w:pPr>
      <w:r>
        <w:t>11.1 Single source of truth</w:t>
      </w:r>
    </w:p>
    <w:p>
      <w:r>
        <w:rPr>
          <w:i w:val="0"/>
        </w:rPr>
        <w:t>Keep the project in a persistent, version-controlled repository. The exact tool can be chosen for ease of use, but the repository must have clear versions, backups, and a directory structure that separates the editorial rules, curriculum map, manuscripts, source records, tests, review reports, diagrams, and release files.</w:t>
      </w:r>
    </w:p>
    <w:p>
      <w:r>
        <w:rPr>
          <w:i w:val="0"/>
        </w:rPr>
        <w:t>Suggested layout:</w:t>
      </w:r>
    </w:p>
    <w:p>
      <w:pPr>
        <w:keepLines/>
        <w:ind w:left="288" w:right="144"/>
      </w:pPr>
      <w:r>
        <w:rPr>
          <w:rFonts w:ascii="Consolas" w:hAnsi="Consolas"/>
          <w:color w:val="183153"/>
          <w:sz w:val="16"/>
        </w:rPr>
        <w:t>mathematics-understood/</w:t>
        <w:br/>
        <w:t xml:space="preserve">  PROJECT_BIBLE.md</w:t>
        <w:br/>
        <w:t xml:space="preserve">  curriculum/</w:t>
        <w:br/>
        <w:t xml:space="preserve">    concept_map.csv</w:t>
        <w:br/>
        <w:t xml:space="preserve">    prerequisite_graph.md</w:t>
        <w:br/>
        <w:t xml:space="preserve">    learning_outcomes.csv</w:t>
        <w:br/>
        <w:t xml:space="preserve">  standards/</w:t>
        <w:br/>
        <w:t xml:space="preserve">    chapter_template.md</w:t>
        <w:br/>
        <w:t xml:space="preserve">    notation_guide.md</w:t>
        <w:br/>
        <w:t xml:space="preserve">    verification_checklist.md</w:t>
        <w:br/>
        <w:t xml:space="preserve">    citation_policy.md</w:t>
        <w:br/>
        <w:t xml:space="preserve">  books/</w:t>
        <w:br/>
        <w:t xml:space="preserve">    core/</w:t>
        <w:br/>
        <w:t xml:space="preserve">      volume-01/</w:t>
        <w:br/>
        <w:t xml:space="preserve">        chapter-01.md</w:t>
        <w:br/>
        <w:t xml:space="preserve">        claims.csv</w:t>
        <w:br/>
        <w:t xml:space="preserve">        exercises.csv</w:t>
        <w:br/>
        <w:t xml:space="preserve">        tests/</w:t>
        <w:br/>
        <w:t xml:space="preserve">    science/</w:t>
        <w:br/>
        <w:t xml:space="preserve">  sources/</w:t>
        <w:br/>
        <w:t xml:space="preserve">    bibliography.bib</w:t>
        <w:br/>
        <w:t xml:space="preserve">    source_to_claims.csv</w:t>
        <w:br/>
        <w:t xml:space="preserve">  reviews/</w:t>
        <w:br/>
        <w:t xml:space="preserve">    open_issues.csv</w:t>
        <w:br/>
        <w:t xml:space="preserve">    decision_log.md</w:t>
        <w:br/>
        <w:t xml:space="preserve">  assets/</w:t>
        <w:br/>
        <w:t xml:space="preserve">    diagrams/</w:t>
        <w:br/>
        <w:t xml:space="preserve">  releases/</w:t>
      </w:r>
    </w:p>
    <w:p>
      <w:r>
        <w:rPr>
          <w:i w:val="0"/>
        </w:rPr>
        <w:t>The layout is a recommendation; it can be simplified at the pilot stage. The key requirement is durable traceability, not a particular tool.</w:t>
      </w:r>
    </w:p>
    <w:p>
      <w:pPr>
        <w:pStyle w:val="Heading2"/>
      </w:pPr>
      <w:r>
        <w:t>11.2 Draft workflow</w:t>
      </w:r>
    </w:p>
    <w:p>
      <w:pPr>
        <w:ind w:left="403" w:hanging="173"/>
      </w:pPr>
      <w:r>
        <w:rPr>
          <w:b/>
          <w:color w:val="087E8B"/>
        </w:rPr>
        <w:t xml:space="preserve">1.  </w:t>
      </w:r>
      <w:r>
        <w:t>Create a chapter brief from the approved curriculum map.</w:t>
      </w:r>
    </w:p>
    <w:p>
      <w:pPr>
        <w:ind w:left="403" w:hanging="173"/>
      </w:pPr>
      <w:r>
        <w:rPr>
          <w:b/>
          <w:color w:val="087E8B"/>
        </w:rPr>
        <w:t xml:space="preserve">2.  </w:t>
      </w:r>
      <w:r>
        <w:t>Assemble source packets and record assumptions.</w:t>
      </w:r>
    </w:p>
    <w:p>
      <w:pPr>
        <w:ind w:left="403" w:hanging="173"/>
      </w:pPr>
      <w:r>
        <w:rPr>
          <w:b/>
          <w:color w:val="087E8B"/>
        </w:rPr>
        <w:t xml:space="preserve">3.  </w:t>
      </w:r>
      <w:r>
        <w:t>Draft the explanation, derivation, examples, exercises, and answer key.</w:t>
      </w:r>
    </w:p>
    <w:p>
      <w:pPr>
        <w:ind w:left="403" w:hanging="173"/>
      </w:pPr>
      <w:r>
        <w:rPr>
          <w:b/>
          <w:color w:val="087E8B"/>
        </w:rPr>
        <w:t xml:space="preserve">4.  </w:t>
      </w:r>
      <w:r>
        <w:t>Run the relevant mathematical, numerical, dimensional, citation, and consistency checks.</w:t>
      </w:r>
    </w:p>
    <w:p>
      <w:pPr>
        <w:ind w:left="403" w:hanging="173"/>
      </w:pPr>
      <w:r>
        <w:rPr>
          <w:b/>
          <w:color w:val="087E8B"/>
        </w:rPr>
        <w:t xml:space="preserve">5.  </w:t>
      </w:r>
      <w:r>
        <w:t>Conduct a separate challenge review focused on counterexamples, missing cases, and misleading interpretations.</w:t>
      </w:r>
    </w:p>
    <w:p>
      <w:pPr>
        <w:ind w:left="403" w:hanging="173"/>
      </w:pPr>
      <w:r>
        <w:rPr>
          <w:b/>
          <w:color w:val="087E8B"/>
        </w:rPr>
        <w:t xml:space="preserve">6.  </w:t>
      </w:r>
      <w:r>
        <w:t>Obtain the required human or domain review.</w:t>
      </w:r>
    </w:p>
    <w:p>
      <w:pPr>
        <w:ind w:left="403" w:hanging="173"/>
      </w:pPr>
      <w:r>
        <w:rPr>
          <w:b/>
          <w:color w:val="087E8B"/>
        </w:rPr>
        <w:t xml:space="preserve">7.  </w:t>
      </w:r>
      <w:r>
        <w:t>Test the chapter with readers and log the outcomes.</w:t>
      </w:r>
    </w:p>
    <w:p>
      <w:pPr>
        <w:ind w:left="403" w:hanging="173"/>
      </w:pPr>
      <w:r>
        <w:rPr>
          <w:b/>
          <w:color w:val="087E8B"/>
        </w:rPr>
        <w:t xml:space="preserve">8.  </w:t>
      </w:r>
      <w:r>
        <w:t>Resolve defects and rerun regression checks.</w:t>
      </w:r>
    </w:p>
    <w:p>
      <w:pPr>
        <w:ind w:left="403" w:hanging="173"/>
      </w:pPr>
      <w:r>
        <w:rPr>
          <w:b/>
          <w:color w:val="087E8B"/>
        </w:rPr>
        <w:t xml:space="preserve">9.  </w:t>
      </w:r>
      <w:r>
        <w:t>Render the final manuscript and inspect every page and mathematical figure.</w:t>
      </w:r>
    </w:p>
    <w:p>
      <w:pPr>
        <w:ind w:left="403" w:hanging="173"/>
      </w:pPr>
      <w:r>
        <w:rPr>
          <w:b/>
          <w:color w:val="087E8B"/>
        </w:rPr>
        <w:t xml:space="preserve">10.  </w:t>
      </w:r>
      <w:r>
        <w:t>Record the release version and its verification status.</w:t>
      </w:r>
    </w:p>
    <w:p>
      <w:pPr>
        <w:pStyle w:val="Heading2"/>
      </w:pPr>
      <w:r>
        <w:t>11.3 Change management</w:t>
      </w:r>
    </w:p>
    <w:p>
      <w:r>
        <w:rPr>
          <w:i w:val="0"/>
        </w:rPr>
        <w:t>Maintain a decision log for meaningful changes to curriculum, notation, teaching rules, or scope. When a concept changes, identify dependent chapters, exercises, science applications, and tests. Do not assume a local edit has no downstream effect.</w:t>
      </w:r>
    </w:p>
    <w:p>
      <w:pPr>
        <w:pStyle w:val="Heading2"/>
      </w:pPr>
      <w:r>
        <w:t>11.4 Manuscript status labels</w:t>
      </w:r>
    </w:p>
    <w:p>
      <w:r>
        <w:rPr>
          <w:i w:val="0"/>
        </w:rPr>
        <w:t>Use explicit labels such as OUTLINE, DRAFT, MATH CHECK PENDING, SOURCE CHECK PENDING, EXTERNAL REVIEW PENDING, PILOT PENDING, APPROVED FOR LAYOUT, and RELEASED. Never describe a draft as verified, peer-reviewed, or publication-ready if the corresponding gate has not been completed.</w:t>
      </w:r>
    </w:p>
    <w:p>
      <w:pPr>
        <w:pStyle w:val="Heading1"/>
      </w:pPr>
      <w:r>
        <w:t>12. Roles and decision rights</w:t>
      </w:r>
    </w:p>
    <w:p>
      <w:pPr>
        <w:pStyle w:val="Heading2"/>
      </w:pPr>
      <w:r>
        <w:t>12.1 AI drafting and analysis role</w:t>
      </w:r>
    </w:p>
    <w:p>
      <w:r>
        <w:rPr>
          <w:i w:val="0"/>
        </w:rPr>
        <w:t>The AI assistant may propose structures, draft text, derive candidate solutions, generate exercises, run available tools, identify uncertain claims, organize sources, and revise material from feedback. It must state uncertainty, retain review records, and never certify its own unaudited output as error-free.</w:t>
      </w:r>
    </w:p>
    <w:p>
      <w:pPr>
        <w:pStyle w:val="Heading2"/>
      </w:pPr>
      <w:r>
        <w:t>12.2 Project lead role</w:t>
      </w:r>
    </w:p>
    <w:p>
      <w:r>
        <w:rPr>
          <w:i w:val="0"/>
        </w:rPr>
        <w:t>The project lead controls the vision, scope, priorities, and final publishing decisions. The project lead need not personally master every branch of mathematics but must ensure that appropriate external expertise is obtained before high-risk advanced material is released.</w:t>
      </w:r>
    </w:p>
    <w:p>
      <w:pPr>
        <w:pStyle w:val="Heading2"/>
      </w:pPr>
      <w:r>
        <w:t>12.3 Expert review role</w:t>
      </w:r>
    </w:p>
    <w:p>
      <w:r>
        <w:rPr>
          <w:i w:val="0"/>
        </w:rPr>
        <w:t>A qualified reviewer checks the mathematics and/or science within their remit. A reviewer should be told what they are being asked to verify; an informal glance is not equivalent to a full mathematical or pedagogical review.</w:t>
      </w:r>
    </w:p>
    <w:p>
      <w:pPr>
        <w:pStyle w:val="Heading2"/>
      </w:pPr>
      <w:r>
        <w:t>12.4 Reader testing role</w:t>
      </w:r>
    </w:p>
    <w:p>
      <w:r>
        <w:rPr>
          <w:i w:val="0"/>
        </w:rPr>
        <w:t>Pilot readers reveal where the explanation fails in practice. Their feedback informs revision, but reader preference does not override mathematical correctness.</w:t>
      </w:r>
    </w:p>
    <w:p>
      <w:pPr>
        <w:pStyle w:val="Heading2"/>
      </w:pPr>
      <w:r>
        <w:t>12.5 Approval rule</w:t>
      </w:r>
    </w:p>
    <w:p>
      <w:r>
        <w:rPr>
          <w:i w:val="0"/>
        </w:rPr>
        <w:t>AI-generated content alone cannot authorize a chapter for release. Final release requires the applicable documented checks and the project lead’s approval. Advanced mathematics and scientific modeling require specialist review where the potential cost of error is high.</w:t>
      </w:r>
    </w:p>
    <w:p>
      <w:pPr>
        <w:pStyle w:val="Heading1"/>
      </w:pPr>
      <w:r>
        <w:t>13. Pilot plan and acceptance criteria</w:t>
      </w:r>
    </w:p>
    <w:p>
      <w:pPr>
        <w:pStyle w:val="Heading2"/>
      </w:pPr>
      <w:r>
        <w:t>13.1 Pilot selection</w:t>
      </w:r>
    </w:p>
    <w:p>
      <w:pPr>
        <w:pStyle w:val="ListBullet"/>
        <w:ind w:left="346" w:hanging="173"/>
      </w:pPr>
      <w:r>
        <w:t>Foundational: Fractions, ratios, and proportional reasoning. This tests entry-level clarity, visual representations, arithmetic accuracy, prerequisite diagnosis, and independent solution support.</w:t>
      </w:r>
    </w:p>
    <w:p>
      <w:pPr>
        <w:pStyle w:val="ListBullet"/>
        <w:ind w:left="346" w:hanging="173"/>
      </w:pPr>
      <w:r>
        <w:t>Advanced application: Electrostatic interaction energy leading into the pairwise construction of a dipole interaction. This tests mathematical precision, physical assumptions, sign conventions, derivation transparency, approximation boundaries, and the ability to move between intuitive explanation and formal calculation.</w:t>
      </w:r>
    </w:p>
    <w:p>
      <w:r>
        <w:rPr>
          <w:i w:val="0"/>
        </w:rPr>
        <w:t>The prototypes need not be full market-ready books. They should be substantial enough to exercise the chapter template, verification ledger, exercises, source policy, and reader testing.</w:t>
      </w:r>
    </w:p>
    <w:p>
      <w:pPr>
        <w:pStyle w:val="Heading2"/>
      </w:pPr>
      <w:r>
        <w:t>13.2 Pilot cycle</w:t>
      </w:r>
    </w:p>
    <w:p>
      <w:pPr>
        <w:ind w:left="403" w:hanging="173"/>
      </w:pPr>
      <w:r>
        <w:rPr>
          <w:b/>
          <w:color w:val="087E8B"/>
        </w:rPr>
        <w:t xml:space="preserve">1.  </w:t>
      </w:r>
      <w:r>
        <w:t>Define the target learner profile and outcomes for each prototype.</w:t>
      </w:r>
    </w:p>
    <w:p>
      <w:pPr>
        <w:ind w:left="403" w:hanging="173"/>
      </w:pPr>
      <w:r>
        <w:rPr>
          <w:b/>
          <w:color w:val="087E8B"/>
        </w:rPr>
        <w:t xml:space="preserve">2.  </w:t>
      </w:r>
      <w:r>
        <w:t>Create the concept and prerequisite records.</w:t>
      </w:r>
    </w:p>
    <w:p>
      <w:pPr>
        <w:ind w:left="403" w:hanging="173"/>
      </w:pPr>
      <w:r>
        <w:rPr>
          <w:b/>
          <w:color w:val="087E8B"/>
        </w:rPr>
        <w:t xml:space="preserve">3.  </w:t>
      </w:r>
      <w:r>
        <w:t>Assemble a small, trustworthy reference set.</w:t>
      </w:r>
    </w:p>
    <w:p>
      <w:pPr>
        <w:ind w:left="403" w:hanging="173"/>
      </w:pPr>
      <w:r>
        <w:rPr>
          <w:b/>
          <w:color w:val="087E8B"/>
        </w:rPr>
        <w:t xml:space="preserve">4.  </w:t>
      </w:r>
      <w:r>
        <w:t>Produce the first draft and complete all internal checks.</w:t>
      </w:r>
    </w:p>
    <w:p>
      <w:pPr>
        <w:ind w:left="403" w:hanging="173"/>
      </w:pPr>
      <w:r>
        <w:rPr>
          <w:b/>
          <w:color w:val="087E8B"/>
        </w:rPr>
        <w:t xml:space="preserve">5.  </w:t>
      </w:r>
      <w:r>
        <w:t>Ask at least one appropriate independent reviewer to examine high-risk content; use additional reviewers when the topic warrants it.</w:t>
      </w:r>
    </w:p>
    <w:p>
      <w:pPr>
        <w:ind w:left="403" w:hanging="173"/>
      </w:pPr>
      <w:r>
        <w:rPr>
          <w:b/>
          <w:color w:val="087E8B"/>
        </w:rPr>
        <w:t xml:space="preserve">6.  </w:t>
      </w:r>
      <w:r>
        <w:t>Test with readers whose prior knowledge fits the intended use.</w:t>
      </w:r>
    </w:p>
    <w:p>
      <w:pPr>
        <w:ind w:left="403" w:hanging="173"/>
      </w:pPr>
      <w:r>
        <w:rPr>
          <w:b/>
          <w:color w:val="087E8B"/>
        </w:rPr>
        <w:t xml:space="preserve">7.  </w:t>
      </w:r>
      <w:r>
        <w:t>Observe whether they can explain, calculate, justify, and transfer the target concepts.</w:t>
      </w:r>
    </w:p>
    <w:p>
      <w:pPr>
        <w:ind w:left="403" w:hanging="173"/>
      </w:pPr>
      <w:r>
        <w:rPr>
          <w:b/>
          <w:color w:val="087E8B"/>
        </w:rPr>
        <w:t xml:space="preserve">8.  </w:t>
      </w:r>
      <w:r>
        <w:t>Log defects by severity, revise, and retest the material affected.</w:t>
      </w:r>
    </w:p>
    <w:p>
      <w:pPr>
        <w:ind w:left="403" w:hanging="173"/>
      </w:pPr>
      <w:r>
        <w:rPr>
          <w:b/>
          <w:color w:val="087E8B"/>
        </w:rPr>
        <w:t xml:space="preserve">9.  </w:t>
      </w:r>
      <w:r>
        <w:t>Decide whether to refine the method, accept it for wider production, or redesign parts of it.</w:t>
      </w:r>
    </w:p>
    <w:p>
      <w:pPr>
        <w:pStyle w:val="Heading2"/>
      </w:pPr>
      <w:r>
        <w:t>13.3 Pilot acceptance criteria</w:t>
      </w:r>
    </w:p>
    <w:p>
      <w:pPr>
        <w:pStyle w:val="ListBullet"/>
        <w:ind w:left="346" w:hanging="173"/>
      </w:pPr>
      <w:r>
        <w:t>All stated outcomes map to explanations and assessment tasks.</w:t>
      </w:r>
    </w:p>
    <w:p>
      <w:pPr>
        <w:pStyle w:val="ListBullet"/>
        <w:ind w:left="346" w:hanging="173"/>
      </w:pPr>
      <w:r>
        <w:t>Prerequisites and assumptions are explicit.</w:t>
      </w:r>
    </w:p>
    <w:p>
      <w:pPr>
        <w:pStyle w:val="ListBullet"/>
        <w:ind w:left="346" w:hanging="173"/>
      </w:pPr>
      <w:r>
        <w:t>All central derivations and worked answers have documented checks.</w:t>
      </w:r>
    </w:p>
    <w:p>
      <w:pPr>
        <w:pStyle w:val="ListBullet"/>
        <w:ind w:left="346" w:hanging="173"/>
      </w:pPr>
      <w:r>
        <w:t>No unresolved S0 or S1 defects remain.</w:t>
      </w:r>
    </w:p>
    <w:p>
      <w:pPr>
        <w:pStyle w:val="ListBullet"/>
        <w:ind w:left="346" w:hanging="173"/>
      </w:pPr>
      <w:r>
        <w:t>Important sources and quotations have been verified.</w:t>
      </w:r>
    </w:p>
    <w:p>
      <w:pPr>
        <w:pStyle w:val="ListBullet"/>
        <w:ind w:left="346" w:hanging="173"/>
      </w:pPr>
      <w:r>
        <w:t>Scientific models and approximations state their scope and limitations.</w:t>
      </w:r>
    </w:p>
    <w:p>
      <w:pPr>
        <w:pStyle w:val="ListBullet"/>
        <w:ind w:left="346" w:hanging="173"/>
      </w:pPr>
      <w:r>
        <w:t>A reader can use the book without a teacher to understand instructions, attempt practice, and check solutions.</w:t>
      </w:r>
    </w:p>
    <w:p>
      <w:pPr>
        <w:pStyle w:val="ListBullet"/>
        <w:ind w:left="346" w:hanging="173"/>
      </w:pPr>
      <w:r>
        <w:t>Transfer questions test something not reproduced verbatim in the explanation.</w:t>
      </w:r>
    </w:p>
    <w:p>
      <w:pPr>
        <w:pStyle w:val="ListBullet"/>
      </w:pPr>
      <w:r>
        <w:t>For a chapter using a problem-first opening, the challenge appears before the main intuitive explanation and formal instruction; it is followed by an achievable initial attempt and clear hints/reveal.</w:t>
      </w:r>
    </w:p>
    <w:p>
      <w:pPr>
        <w:pStyle w:val="ListBullet"/>
      </w:pPr>
      <w:r>
        <w:t>The later explanation explicitly compares plausible first attempts with the formal mathematical account; the opening problem is not a decorative hook that the chapter forgets.</w:t>
      </w:r>
    </w:p>
    <w:p>
      <w:pPr>
        <w:pStyle w:val="ListBullet"/>
        <w:ind w:left="346" w:hanging="173"/>
      </w:pPr>
      <w:r>
        <w:t>Learner feedback and known weaknesses are recorded.</w:t>
      </w:r>
    </w:p>
    <w:p>
      <w:pPr>
        <w:pStyle w:val="ListBullet"/>
        <w:ind w:left="346" w:hanging="173"/>
      </w:pPr>
      <w:r>
        <w:t>The project lead accepts any remaining S2/S3 issues or records a concrete resolution plan before release.</w:t>
      </w:r>
    </w:p>
    <w:p>
      <w:pPr>
        <w:pStyle w:val="ListBullet"/>
      </w:pPr>
      <w:r>
        <w:t>Readers complete at least one independent formulation or representation-construction task where the topic supports it.</w:t>
      </w:r>
    </w:p>
    <w:p>
      <w:pPr>
        <w:pStyle w:val="ListBullet"/>
      </w:pPr>
      <w:r>
        <w:t>Where proof or argument is a learning outcome, readers attempt to construct or critique an argument—not merely select or read a supplied proof.</w:t>
      </w:r>
    </w:p>
    <w:p>
      <w:pPr>
        <w:pStyle w:val="ListBullet"/>
      </w:pPr>
      <w:r>
        <w:t>Essential graphs, diagrams, and other visuals have been tested for mathematical accuracy, legibility, and usefulness; graph-focused chapters include graph interpretation and construction work.</w:t>
      </w:r>
    </w:p>
    <w:p>
      <w:pPr>
        <w:pStyle w:val="ListBullet"/>
      </w:pPr>
      <w:r>
        <w:t>In-flow visualization prompts have been tested with learners: they predict, annotate, complete, sketch, or reconstruct before seeing the full worked visual, then receive clear comparison or feedback.</w:t>
      </w:r>
    </w:p>
    <w:p>
      <w:pPr>
        <w:pStyle w:val="ListBullet"/>
      </w:pPr>
      <w:r>
        <w:t>The chapter develops independence in visual reasoning without requiring vivid internal imagery or discouraging the legitimate use of diagrams as problem-solving tools.</w:t>
      </w:r>
    </w:p>
    <w:p>
      <w:r>
        <w:rPr>
          <w:i w:val="0"/>
        </w:rPr>
        <w:t>The pilot is a feasibility and quality test, not a controlled demonstration that the method is superior to conventional books. Any comparative learning claim would require a suitably designed study with appropriate measures and sample selection.</w:t>
      </w:r>
    </w:p>
    <w:p>
      <w:pPr>
        <w:pStyle w:val="Heading1"/>
      </w:pPr>
      <w:r>
        <w:t>14. Risks and mitigations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5"/>
              </w:rPr>
              <w:t>Risk</w:t>
            </w:r>
          </w:p>
        </w:tc>
        <w:tc>
          <w:tcPr>
            <w:tcW w:type="dxa" w:w="4939"/>
            <w:shd w:fill="183153"/>
            <w:tcMar>
              <w:top w:w="85" w:type="dxa"/>
              <w:start w:w="95" w:type="dxa"/>
              <w:bottom w:w="85" w:type="dxa"/>
              <w:end w:w="95" w:type="dxa"/>
            </w:tcMar>
          </w:tcPr>
          <w:p>
            <w:pPr>
              <w:spacing w:after="0"/>
            </w:pPr>
            <w:r>
              <w:rPr>
                <w:b/>
                <w:color w:val="FFFFFF"/>
                <w:sz w:val="15"/>
              </w:rPr>
              <w:t>Mitigation</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Plausible but false AI-generated explanation</w:t>
            </w:r>
          </w:p>
        </w:tc>
        <w:tc>
          <w:tcPr>
            <w:tcW w:type="dxa" w:w="7128"/>
            <w:vAlign w:val="top"/>
            <w:tcMar>
              <w:top w:w="85" w:type="dxa"/>
              <w:start w:w="95" w:type="dxa"/>
              <w:bottom w:w="85" w:type="dxa"/>
              <w:end w:w="95" w:type="dxa"/>
            </w:tcMar>
          </w:tcPr>
          <w:p>
            <w:pPr>
              <w:spacing w:after="20" w:line="240" w:lineRule="auto"/>
            </w:pPr>
            <w:r>
              <w:rPr>
                <w:color w:val="202B36"/>
                <w:sz w:val="15"/>
              </w:rPr>
              <w:t>Claim ledger, independent derivation, computational checks, external review, and explicit uncertainty labels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Citation invented or not actually supportive</w:t>
            </w:r>
          </w:p>
        </w:tc>
        <w:tc>
          <w:tcPr>
            <w:tcW w:type="dxa" w:w="7128"/>
            <w:vAlign w:val="top"/>
            <w:tcMar>
              <w:top w:w="85" w:type="dxa"/>
              <w:start w:w="95" w:type="dxa"/>
              <w:bottom w:w="85" w:type="dxa"/>
              <w:end w:w="95" w:type="dxa"/>
            </w:tcMar>
            <w:shd w:fill="F4F7FA"/>
          </w:tcPr>
          <w:p>
            <w:pPr>
              <w:spacing w:after="20" w:line="240" w:lineRule="auto"/>
            </w:pPr>
            <w:r>
              <w:rPr>
                <w:color w:val="202B36"/>
                <w:sz w:val="15"/>
              </w:rPr>
              <w:t>Open every source used for important claims; record exact page/section and claim mapping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Intuitive analogy becomes a misconception</w:t>
            </w:r>
          </w:p>
        </w:tc>
        <w:tc>
          <w:tcPr>
            <w:tcW w:type="dxa" w:w="7128"/>
            <w:vAlign w:val="top"/>
            <w:tcMar>
              <w:top w:w="85" w:type="dxa"/>
              <w:start w:w="95" w:type="dxa"/>
              <w:bottom w:w="85" w:type="dxa"/>
              <w:end w:w="95" w:type="dxa"/>
            </w:tcMar>
          </w:tcPr>
          <w:p>
            <w:pPr>
              <w:spacing w:after="20" w:line="240" w:lineRule="auto"/>
            </w:pPr>
            <w:r>
              <w:rPr>
                <w:color w:val="202B36"/>
                <w:sz w:val="15"/>
              </w:rPr>
              <w:t>Test counterexamples, mark limits, and transition explicitly to formal definitions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Curriculum has gaps or jumps</w:t>
            </w:r>
          </w:p>
        </w:tc>
        <w:tc>
          <w:tcPr>
            <w:tcW w:type="dxa" w:w="7128"/>
            <w:vAlign w:val="top"/>
            <w:tcMar>
              <w:top w:w="85" w:type="dxa"/>
              <w:start w:w="95" w:type="dxa"/>
              <w:bottom w:w="85" w:type="dxa"/>
              <w:end w:w="95" w:type="dxa"/>
            </w:tcMar>
            <w:shd w:fill="F4F7FA"/>
          </w:tcPr>
          <w:p>
            <w:pPr>
              <w:spacing w:after="20" w:line="240" w:lineRule="auto"/>
            </w:pPr>
            <w:r>
              <w:rPr>
                <w:color w:val="202B36"/>
                <w:sz w:val="15"/>
              </w:rPr>
              <w:t>Dependency graph, prerequisite checks, and pilot feedback</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Exercise answer key contains errors</w:t>
            </w:r>
          </w:p>
        </w:tc>
        <w:tc>
          <w:tcPr>
            <w:tcW w:type="dxa" w:w="7128"/>
            <w:vAlign w:val="top"/>
            <w:tcMar>
              <w:top w:w="85" w:type="dxa"/>
              <w:start w:w="95" w:type="dxa"/>
              <w:bottom w:w="85" w:type="dxa"/>
              <w:end w:w="95" w:type="dxa"/>
            </w:tcMar>
          </w:tcPr>
          <w:p>
            <w:pPr>
              <w:spacing w:after="20" w:line="240" w:lineRule="auto"/>
            </w:pPr>
            <w:r>
              <w:rPr>
                <w:color w:val="202B36"/>
                <w:sz w:val="15"/>
              </w:rPr>
              <w:t>Independently recompute, add test cases, and run regression checks after corrections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Science model is presented as universal</w:t>
            </w:r>
          </w:p>
        </w:tc>
        <w:tc>
          <w:tcPr>
            <w:tcW w:type="dxa" w:w="7128"/>
            <w:vAlign w:val="top"/>
            <w:tcMar>
              <w:top w:w="85" w:type="dxa"/>
              <w:start w:w="95" w:type="dxa"/>
              <w:bottom w:w="85" w:type="dxa"/>
              <w:end w:w="95" w:type="dxa"/>
            </w:tcMar>
            <w:shd w:fill="F4F7FA"/>
          </w:tcPr>
          <w:p>
            <w:pPr>
              <w:spacing w:after="20" w:line="240" w:lineRule="auto"/>
            </w:pPr>
            <w:r>
              <w:rPr>
                <w:color w:val="202B36"/>
                <w:sz w:val="15"/>
              </w:rPr>
              <w:t>Record domain, conditions, approximations, and domain-expert review</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Scope becomes too large to manage</w:t>
            </w:r>
          </w:p>
        </w:tc>
        <w:tc>
          <w:tcPr>
            <w:tcW w:type="dxa" w:w="7128"/>
            <w:vAlign w:val="top"/>
            <w:tcMar>
              <w:top w:w="85" w:type="dxa"/>
              <w:start w:w="95" w:type="dxa"/>
              <w:bottom w:w="85" w:type="dxa"/>
              <w:end w:w="95" w:type="dxa"/>
            </w:tcMar>
          </w:tcPr>
          <w:p>
            <w:pPr>
              <w:spacing w:after="20" w:line="240" w:lineRule="auto"/>
            </w:pPr>
            <w:r>
              <w:rPr>
                <w:color w:val="202B36"/>
                <w:sz w:val="15"/>
              </w:rPr>
              <w:t>Prioritize a pilot, freeze the core standards, use incremental releases, and avoid premature volume-count promises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Chapters become inconsistent</w:t>
            </w:r>
          </w:p>
        </w:tc>
        <w:tc>
          <w:tcPr>
            <w:tcW w:type="dxa" w:w="7128"/>
            <w:vAlign w:val="top"/>
            <w:tcMar>
              <w:top w:w="85" w:type="dxa"/>
              <w:start w:w="95" w:type="dxa"/>
              <w:bottom w:w="85" w:type="dxa"/>
              <w:end w:w="95" w:type="dxa"/>
            </w:tcMar>
            <w:shd w:fill="F4F7FA"/>
          </w:tcPr>
          <w:p>
            <w:pPr>
              <w:spacing w:after="20" w:line="240" w:lineRule="auto"/>
            </w:pPr>
            <w:r>
              <w:rPr>
                <w:color w:val="202B36"/>
                <w:sz w:val="15"/>
              </w:rPr>
              <w:t>Shared notation guide, term list, canonical concept IDs, and change log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Reader appreciates the style but does not learn</w:t>
            </w:r>
          </w:p>
        </w:tc>
        <w:tc>
          <w:tcPr>
            <w:tcW w:type="dxa" w:w="7128"/>
            <w:vAlign w:val="top"/>
            <w:tcMar>
              <w:top w:w="85" w:type="dxa"/>
              <w:start w:w="95" w:type="dxa"/>
              <w:bottom w:w="85" w:type="dxa"/>
              <w:end w:w="95" w:type="dxa"/>
            </w:tcMar>
          </w:tcPr>
          <w:p>
            <w:pPr>
              <w:spacing w:after="20" w:line="240" w:lineRule="auto"/>
            </w:pPr>
            <w:r>
              <w:rPr>
                <w:color w:val="202B36"/>
                <w:sz w:val="15"/>
              </w:rPr>
              <w:t>Assess explanations, independent problem-solving, transfer, and delayed retrieval—not satisfaction alone</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Copyright or attribution problem</w:t>
            </w:r>
          </w:p>
        </w:tc>
        <w:tc>
          <w:tcPr>
            <w:tcW w:type="dxa" w:w="7128"/>
            <w:vAlign w:val="top"/>
            <w:tcMar>
              <w:top w:w="85" w:type="dxa"/>
              <w:start w:w="95" w:type="dxa"/>
              <w:bottom w:w="85" w:type="dxa"/>
              <w:end w:w="95" w:type="dxa"/>
            </w:tcMar>
            <w:shd w:fill="F4F7FA"/>
          </w:tcPr>
          <w:p>
            <w:pPr>
              <w:spacing w:after="20" w:line="240" w:lineRule="auto"/>
            </w:pPr>
            <w:r>
              <w:rPr>
                <w:color w:val="202B36"/>
                <w:sz w:val="15"/>
              </w:rPr>
              <w:t>Write original material, check licence terms, maintain permissions records, and review borrowed assets</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Context lost between writing sessions</w:t>
            </w:r>
          </w:p>
        </w:tc>
        <w:tc>
          <w:tcPr>
            <w:tcW w:type="dxa" w:w="7128"/>
            <w:vAlign w:val="top"/>
            <w:tcMar>
              <w:top w:w="85" w:type="dxa"/>
              <w:start w:w="95" w:type="dxa"/>
              <w:bottom w:w="85" w:type="dxa"/>
              <w:end w:w="95" w:type="dxa"/>
            </w:tcMar>
          </w:tcPr>
          <w:p>
            <w:pPr>
              <w:spacing w:after="20" w:line="240" w:lineRule="auto"/>
            </w:pPr>
            <w:r>
              <w:rPr>
                <w:color w:val="202B36"/>
                <w:sz w:val="15"/>
              </w:rPr>
              <w:t>Maintain the Project Bible, curriculum repository, chapter status, source records, and decision log outside the chat</w:t>
            </w:r>
          </w:p>
        </w:tc>
      </w:tr>
    </w:tbl>
    <w:p>
      <w:pPr>
        <w:spacing w:after="20"/>
      </w:pPr>
    </w:p>
    <w:p>
      <w:pPr>
        <w:pStyle w:val="Heading1"/>
      </w:pPr>
      <w:r>
        <w:t>15. Decisions intentionally left open</w:t>
      </w:r>
    </w:p>
    <w:p>
      <w:pPr>
        <w:pStyle w:val="ListBullet"/>
        <w:ind w:left="346" w:hanging="173"/>
      </w:pPr>
      <w:r>
        <w:t>Final project and series names; trademark and domain checks.</w:t>
      </w:r>
    </w:p>
    <w:p>
      <w:pPr>
        <w:pStyle w:val="ListBullet"/>
        <w:ind w:left="346" w:hanging="173"/>
      </w:pPr>
      <w:r>
        <w:t>Exact number and size of volumes.</w:t>
      </w:r>
    </w:p>
    <w:p>
      <w:pPr>
        <w:pStyle w:val="ListBullet"/>
        <w:ind w:left="346" w:hanging="173"/>
      </w:pPr>
      <w:r>
        <w:t>Detailed curriculum order and depth of each advanced topic.</w:t>
      </w:r>
    </w:p>
    <w:p>
      <w:pPr>
        <w:pStyle w:val="ListBullet"/>
        <w:ind w:left="346" w:hanging="173"/>
      </w:pPr>
      <w:r>
        <w:t>Primary publishing format, page design, and release strategy.</w:t>
      </w:r>
    </w:p>
    <w:p>
      <w:pPr>
        <w:pStyle w:val="ListBullet"/>
        <w:ind w:left="346" w:hanging="173"/>
      </w:pPr>
      <w:r>
        <w:t>Which materials will be openly licensed and under what terms.</w:t>
      </w:r>
    </w:p>
    <w:p>
      <w:pPr>
        <w:pStyle w:val="ListBullet"/>
        <w:ind w:left="346" w:hanging="173"/>
      </w:pPr>
      <w:r>
        <w:t>Exact learner-testing design and whether a formal comparative study is feasible.</w:t>
      </w:r>
    </w:p>
    <w:p>
      <w:pPr>
        <w:pStyle w:val="ListBullet"/>
        <w:ind w:left="346" w:hanging="173"/>
      </w:pPr>
      <w:r>
        <w:t>Which chapters warrant formal proof assistant work.</w:t>
      </w:r>
    </w:p>
    <w:p>
      <w:pPr>
        <w:pStyle w:val="ListBullet"/>
        <w:ind w:left="346" w:hanging="173"/>
      </w:pPr>
      <w:r>
        <w:t>Budget, paid expert review, external editing, and publication timeline.</w:t>
      </w:r>
    </w:p>
    <w:p>
      <w:pPr>
        <w:pStyle w:val="ListBullet"/>
        <w:ind w:left="346" w:hanging="173"/>
      </w:pPr>
      <w:r>
        <w:t>Whether supplementary digital tools or interactive exercises are worth the cost.</w:t>
      </w:r>
    </w:p>
    <w:p>
      <w:r>
        <w:rPr>
          <w:i w:val="0"/>
        </w:rPr>
        <w:t>The project should prefer reversible decisions early and reserve expensive commitments until the pilot clarifies them.</w:t>
      </w:r>
    </w:p>
    <w:p>
      <w:pPr>
        <w:pStyle w:val="Heading1"/>
      </w:pPr>
      <w:r>
        <w:t>16. First actions</w:t>
      </w:r>
    </w:p>
    <w:p>
      <w:pPr>
        <w:ind w:left="403" w:hanging="173"/>
      </w:pPr>
      <w:r>
        <w:t>1.  Adopt or further amend Project Bible v1.3. Preserve v1.0, v1.1, and v1.2 as historical baselines and record subsequent changes in the decision log.</w:t>
      </w:r>
    </w:p>
    <w:p>
      <w:pPr>
        <w:ind w:left="403" w:hanging="173"/>
      </w:pPr>
      <w:r>
        <w:rPr>
          <w:b/>
          <w:color w:val="087E8B"/>
        </w:rPr>
        <w:t xml:space="preserve">2.  </w:t>
      </w:r>
      <w:r>
        <w:t>Build the Master Curriculum Map. Define concept IDs, prerequisites, learning outcomes, first introduction, later revisits, applications, and verification needs.</w:t>
      </w:r>
    </w:p>
    <w:p>
      <w:pPr>
        <w:ind w:left="403" w:hanging="173"/>
      </w:pPr>
      <w:r>
        <w:rPr>
          <w:b/>
          <w:color w:val="087E8B"/>
        </w:rPr>
        <w:t xml:space="preserve">3.  </w:t>
      </w:r>
      <w:r>
        <w:t>Create the two pilot chapter briefs. One foundational and one advanced scientific application.</w:t>
      </w:r>
    </w:p>
    <w:p>
      <w:pPr>
        <w:ind w:left="403" w:hanging="173"/>
      </w:pPr>
      <w:r>
        <w:rPr>
          <w:b/>
          <w:color w:val="087E8B"/>
        </w:rPr>
        <w:t xml:space="preserve">4.  </w:t>
      </w:r>
      <w:r>
        <w:t>Build the claim ledger and QA checklist. Use them before drafting large amounts of prose.</w:t>
      </w:r>
    </w:p>
    <w:p>
      <w:pPr>
        <w:ind w:left="403" w:hanging="173"/>
      </w:pPr>
      <w:r>
        <w:rPr>
          <w:b/>
          <w:color w:val="087E8B"/>
        </w:rPr>
        <w:t xml:space="preserve">5.  </w:t>
      </w:r>
      <w:r>
        <w:t>Draft and verify the pilots. Do not expand the collection until the production process has been exercised end to end.</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Next planned deliverable</w:t>
            </w:r>
          </w:p>
          <w:p>
            <w:pPr>
              <w:spacing w:after="20"/>
            </w:pPr>
            <w:r>
              <w:rPr>
                <w:sz w:val="18"/>
              </w:rPr>
              <w:t>Master Curriculum Map v0.1 — concept inventory, prerequisite graph, learning outcomes, and cross-links to science applications.</w:t>
            </w:r>
          </w:p>
        </w:tc>
      </w:tr>
    </w:tbl>
    <w:p>
      <w:pPr>
        <w:spacing w:after="20"/>
      </w:pPr>
    </w:p>
    <w:p>
      <w:r>
        <w:rPr>
          <w:i w:val="0"/>
        </w:rPr>
        <w:t>The immediate next deliverable after this document is the Master Curriculum Map, beginning with a prerequisite graph, not a polished table of contents. That graph will drive book boundaries and show where the science companions depend on core mathematics.</w:t>
      </w:r>
    </w:p>
    <w:p>
      <w:pPr>
        <w:pStyle w:val="Heading1"/>
      </w:pPr>
      <w:r>
        <w:t>17. References</w:t>
      </w:r>
    </w:p>
    <w:p>
      <w:r>
        <w:rPr>
          <w:i w:val="0"/>
        </w:rPr>
        <w:t>[1] National Research Council. Adding It Up: Helping Children Learn Mathematics. National Academies Press, 2001. Chapter 4, “The Strands of Mathematical Proficiency.” DOI: https://doi.org/10.17226/9822. https://www.nationalacademies.org/read/9822/chapter/6</w:t>
      </w:r>
    </w:p>
    <w:p>
      <w:r>
        <w:rPr>
          <w:i w:val="0"/>
        </w:rPr>
        <w:t>[2] Autio, C., Schwartz, R., Dunietz, J., Jain, S., Stanley, M., Tabassi, E., and Hall, P. Artificial Intelligence Risk Management Framework: Generative Artificial Intelligence Profile. NIST AI 600-1, National Institute of Standards and Technology, 2024; see the official record for updates. DOI: https://doi.org/10.6028/NIST.AI.600-1. https://nvlpubs.nist.gov/nistpubs/ai/NIST.AI.600-1.pdf</w:t>
      </w:r>
    </w:p>
    <w:p>
      <w:r>
        <w:rPr>
          <w:i w:val="0"/>
        </w:rPr>
        <w:t>[3] OpenAI. “Evaluation Best Practices.” OpenAI API Documentation. https://developers.openai.com/api/docs/guides/evaluation-best-practices/</w:t>
      </w:r>
    </w:p>
    <w:p>
      <w:r>
        <w:rPr>
          <w:i w:val="0"/>
        </w:rPr>
        <w:t>[4] Institute of Education Sciences / What Works Clearinghouse. “Assisting Students Struggling with Mathematics: Intervention in the Elementary Grades.” Practice Guide and related resources on instructional language and representations. https://ies.ed.gov/ncee/wwc/PracticeGuide/26</w:t>
      </w:r>
    </w:p>
    <w:p>
      <w:r>
        <w:rPr>
          <w:i w:val="0"/>
        </w:rPr>
        <w:t>[5] Institute of Education Sciences. “Module 2: Representations.” Resource describing concrete, semi-concrete, and abstract representations for mathematics instruction. https://ies.ed.gov/ncee/rel/math-support-grades-3-6/teach-pd-module2-rep</w:t>
      </w:r>
    </w:p>
    <w:p>
      <w:r>
        <w:rPr>
          <w:i w:val="0"/>
        </w:rPr>
        <w:t>[6] Lean Language. “The Lean Language Reference” and “Learn Lean.” Official documentation for the Lean theorem prover and learning resources. https://lean-lang.org/doc/reference/latest/ and https://lean-lang.org/learn/</w:t>
      </w:r>
    </w:p>
    <w:p>
      <w:pPr/>
      <w:r>
        <w:t>[7] Sinha, T., and Kapur, M. “When Problem Solving Followed by Instruction Works: Evidence for Productive Failure.” Review of Educational Research, 91(5), 761–798, 2021. Meta-analysis of 53 studies and 166 comparisons. DOI: https://doi.org/10.3102/00346543211019105.</w:t>
      </w:r>
    </w:p>
    <w:p>
      <w:pPr/>
      <w:r>
        <w:t>[8] Kapur, M. “Productive Failure in Learning Math.” Cognitive Science, 38(5), 1008–1022, 2014. DOI: https://doi.org/10.1111/cogs.12107.</w:t>
      </w:r>
    </w:p>
    <w:p>
      <w:r>
        <w:rPr>
          <w:i/>
        </w:rPr>
        <w:t>Reference-use note: These sources inform parts of the general framework; they do not certify this project design. Claims in future chapters require source verification specific to their topic. Web references last checked for this Project Bible on 19 October 2026.</w:t>
      </w:r>
    </w:p>
    <w:p>
      <w:pPr>
        <w:pStyle w:val="Heading1"/>
      </w:pPr>
      <w:r>
        <w:t>18. Appendices and reusable templates</w:t>
      </w:r>
    </w:p>
    <w:p>
      <w:pPr>
        <w:pStyle w:val="Heading2"/>
      </w:pPr>
      <w:r>
        <w:t>Appendix A — Chapter brief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6"/>
              </w:rPr>
              <w:t>Field</w:t>
            </w:r>
          </w:p>
        </w:tc>
        <w:tc>
          <w:tcPr>
            <w:tcW w:type="dxa" w:w="4939"/>
            <w:shd w:fill="183153"/>
            <w:tcMar>
              <w:top w:w="30" w:type="dxa"/>
              <w:start w:w="80" w:type="dxa"/>
              <w:bottom w:w="30" w:type="dxa"/>
              <w:end w:w="80" w:type="dxa"/>
            </w:tcMar>
          </w:tcPr>
          <w:p>
            <w:pPr>
              <w:spacing w:after="0" w:before="0" w:line="240" w:lineRule="auto"/>
            </w:pPr>
            <w:r>
              <w:rPr>
                <w:b/>
                <w:color w:val="FFFFFF"/>
                <w:sz w:val="16"/>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Chapter ID</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Working title</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Target learner / entry point</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Learning outcomes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Prerequisite concept IDs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Concept IDs introduced</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Definitions and notation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Central claims / theorems / formulas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c>
          <w:tcPr>
            <w:tcW w:type="dxa" w:w="4939"/>
          </w:tcPr>
          <w:p>
            <w:r>
              <w:t>Problem-first challenge and target idea (or reason not used)</w:t>
            </w:r>
          </w:p>
        </w:tc>
        <w:tc>
          <w:tcPr>
            <w:tcW w:type="dxa" w:w="4939"/>
          </w:tcPr>
          <w:p>
            <w:r/>
          </w:p>
        </w:tc>
      </w:tr>
      <w:tr>
        <w:tc>
          <w:tcPr>
            <w:tcW w:type="dxa" w:w="4939"/>
          </w:tcPr>
          <w:p>
            <w:r>
              <w:t>Likely first attempts / prior knowledge activated</w:t>
            </w:r>
          </w:p>
        </w:tc>
        <w:tc>
          <w:tcPr>
            <w:tcW w:type="dxa" w:w="4939"/>
          </w:tcPr>
          <w:p>
            <w:r/>
          </w:p>
        </w:tc>
      </w:tr>
      <w:tr>
        <w:tc>
          <w:tcPr>
            <w:tcW w:type="dxa" w:w="4939"/>
          </w:tcPr>
          <w:p>
            <w:r>
              <w:t>Hints, reveal point, and comparison with the first attempt</w:t>
            </w:r>
          </w:p>
        </w:tc>
        <w:tc>
          <w:tcPr>
            <w:tcW w:type="dxa" w:w="4939"/>
          </w:tcPr>
          <w:p>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Intuitive entry point</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c>
          <w:tcPr>
            <w:tcW w:type="dxa" w:w="4939"/>
            <w:tcMar>
              <w:top w:w="30" w:type="dxa"/>
              <w:start w:w="80" w:type="dxa"/>
              <w:bottom w:w="30" w:type="dxa"/>
              <w:end w:w="80" w:type="dxa"/>
            </w:tcMar>
          </w:tcPr>
          <w:p>
            <w:pPr>
              <w:spacing w:before="0" w:after="0" w:line="240" w:lineRule="auto"/>
            </w:pPr>
            <w:r>
              <w:t>Visual inventory: asset, purpose, accessibility, source/licence</w:t>
            </w:r>
          </w:p>
        </w:tc>
        <w:tc>
          <w:tcPr>
            <w:tcW w:type="dxa" w:w="4939"/>
            <w:tcMar>
              <w:top w:w="30" w:type="dxa"/>
              <w:start w:w="80" w:type="dxa"/>
              <w:bottom w:w="30" w:type="dxa"/>
              <w:end w:w="80" w:type="dxa"/>
            </w:tcMar>
          </w:tcPr>
          <w:p>
            <w:pPr>
              <w:spacing w:before="0" w:after="0" w:line="240" w:lineRule="auto"/>
            </w:pPr>
            <w:r/>
          </w:p>
        </w:tc>
      </w:tr>
      <w:tr>
        <w:tc>
          <w:tcPr>
            <w:tcW w:type="dxa" w:w="4939"/>
            <w:tcMar>
              <w:top w:w="30" w:type="dxa"/>
              <w:start w:w="80" w:type="dxa"/>
              <w:bottom w:w="30" w:type="dxa"/>
              <w:end w:w="80" w:type="dxa"/>
            </w:tcMar>
          </w:tcPr>
          <w:p>
            <w:r>
              <w:t>In-flow visualization prompts: location, task, feedback route</w:t>
            </w:r>
          </w:p>
        </w:tc>
        <w:tc>
          <w:tcPr>
            <w:tcW w:type="dxa" w:w="4939"/>
            <w:tcMar>
              <w:top w:w="30" w:type="dxa"/>
              <w:start w:w="80" w:type="dxa"/>
              <w:bottom w:w="30" w:type="dxa"/>
              <w:end w:w="80" w:type="dxa"/>
            </w:tcMar>
          </w:tcPr>
          <w:p>
            <w:r/>
          </w:p>
        </w:tc>
      </w:tr>
      <w:tr>
        <w:tc>
          <w:tcPr>
            <w:tcW w:type="dxa" w:w="4939"/>
            <w:tcMar>
              <w:top w:w="30" w:type="dxa"/>
              <w:start w:w="80" w:type="dxa"/>
              <w:bottom w:w="30" w:type="dxa"/>
              <w:end w:w="80" w:type="dxa"/>
            </w:tcMar>
          </w:tcPr>
          <w:p>
            <w:r>
              <w:t>Support/fading plan: show, annotate, complete, construct, transfer</w:t>
            </w:r>
          </w:p>
        </w:tc>
        <w:tc>
          <w:tcPr>
            <w:tcW w:type="dxa" w:w="4939"/>
            <w:tcMar>
              <w:top w:w="30" w:type="dxa"/>
              <w:start w:w="80" w:type="dxa"/>
              <w:bottom w:w="30" w:type="dxa"/>
              <w:end w:w="80" w:type="dxa"/>
            </w:tcMar>
          </w:tcPr>
          <w:p>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Representations to use and why</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Derivation / proof plan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Worked-example plan</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Common misconceptions and counterexamples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Exercise ladder and transfer question</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Science applications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Reference packet</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Verification plan</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Required reviewer(s)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Acceptance criteria</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6"/>
              </w:rPr>
              <w:t>Open issues</w:t>
            </w:r>
          </w:p>
        </w:tc>
        <w:tc>
          <w:tcPr>
            <w:tcW w:type="dxa" w:w="6984"/>
            <w:vAlign w:val="top"/>
            <w:tcMar>
              <w:top w:w="30" w:type="dxa"/>
              <w:start w:w="80" w:type="dxa"/>
              <w:bottom w:w="30" w:type="dxa"/>
              <w:end w:w="80" w:type="dxa"/>
            </w:tcMar>
            <w:shd w:fill="F4F7FA"/>
          </w:tcPr>
          <w:p>
            <w:pPr>
              <w:spacing w:after="0" w:line="240" w:lineRule="auto" w:before="0"/>
            </w:pPr>
            <w:r>
              <w:rPr>
                <w:color w:val="202B36"/>
                <w:sz w:val="16"/>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6"/>
              </w:rPr>
              <w:t>Status</w:t>
            </w:r>
          </w:p>
        </w:tc>
        <w:tc>
          <w:tcPr>
            <w:tcW w:type="dxa" w:w="6984"/>
            <w:vAlign w:val="top"/>
            <w:tcMar>
              <w:top w:w="30" w:type="dxa"/>
              <w:start w:w="80" w:type="dxa"/>
              <w:bottom w:w="30" w:type="dxa"/>
              <w:end w:w="80" w:type="dxa"/>
            </w:tcMar>
          </w:tcPr>
          <w:p>
            <w:pPr>
              <w:spacing w:after="0" w:line="240" w:lineRule="auto" w:before="0"/>
            </w:pPr>
            <w:r>
              <w:rPr>
                <w:color w:val="202B36"/>
                <w:sz w:val="16"/>
              </w:rPr>
            </w:r>
          </w:p>
        </w:tc>
      </w:tr>
    </w:tbl>
    <w:p>
      <w:pPr>
        <w:spacing w:after="20"/>
      </w:pPr>
    </w:p>
    <w:p>
      <w:pPr>
        <w:pStyle w:val="Heading2"/>
      </w:pPr>
      <w:r>
        <w:t>Appendix B — Claim ledger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Claim ID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Exact statement</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Claim type: definition / derivation / theorem / numerical result / scientific model / sourced fact / analogy</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Assumptions and domain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Source and exact locator (if applicable)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Derivation or evidence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Independent check method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Test cases / edge cases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Reviewer and date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Status: unverified / checked / reviewed / approved</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Known limits or unresolved questions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Dependent sections, exercises, or applications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p>
      <w:pPr>
        <w:pStyle w:val="Heading2"/>
      </w:pPr>
      <w:r>
        <w:t>Appendix C — Chapter release checklist</w:t>
      </w:r>
    </w:p>
    <w:p>
      <w:pPr>
        <w:pStyle w:val="ListBullet"/>
        <w:ind w:left="346" w:hanging="173"/>
      </w:pPr>
      <w:r>
        <w:t>Learning outcomes are observable and assessed.</w:t>
      </w:r>
    </w:p>
    <w:p>
      <w:pPr>
        <w:pStyle w:val="ListBullet"/>
        <w:ind w:left="346" w:hanging="173"/>
      </w:pPr>
      <w:r>
        <w:t>Prerequisites and entry points are explicit.</w:t>
      </w:r>
    </w:p>
    <w:p>
      <w:pPr>
        <w:pStyle w:val="ListBullet"/>
      </w:pPr>
      <w:r>
        <w:t>The chapter’s entry sequence is intentional: where problem-first is appropriate, a concrete challenge and brief first attempt precede the main intuition/explanation; any exception is justified in the chapter brief.</w:t>
      </w:r>
    </w:p>
    <w:p>
      <w:pPr>
        <w:pStyle w:val="ListBullet"/>
        <w:ind w:left="346" w:hanging="173"/>
      </w:pPr>
      <w:r>
        <w:t>All symbols and terms are defined before reliance on them.</w:t>
      </w:r>
    </w:p>
    <w:p>
      <w:pPr>
        <w:pStyle w:val="ListBullet"/>
        <w:ind w:left="346" w:hanging="173"/>
      </w:pPr>
      <w:r>
        <w:t>Each major intuitive interpretation is compatible with the formal mathematics.</w:t>
      </w:r>
    </w:p>
    <w:p>
      <w:pPr>
        <w:pStyle w:val="ListBullet"/>
        <w:ind w:left="346" w:hanging="173"/>
      </w:pPr>
      <w:r>
        <w:t>Analogy boundaries and counterexamples are supplied when needed.</w:t>
      </w:r>
    </w:p>
    <w:p>
      <w:pPr>
        <w:pStyle w:val="ListBullet"/>
        <w:ind w:left="346" w:hanging="173"/>
      </w:pPr>
      <w:r>
        <w:t>Derivations have no unexplained or invalid transitions.</w:t>
      </w:r>
    </w:p>
    <w:p>
      <w:pPr>
        <w:pStyle w:val="ListBullet"/>
        <w:ind w:left="346" w:hanging="173"/>
      </w:pPr>
      <w:r>
        <w:t>Assumptions, domains, units, sign conventions, and approximations are checked where applicable.</w:t>
      </w:r>
    </w:p>
    <w:p>
      <w:pPr>
        <w:pStyle w:val="ListBullet"/>
        <w:ind w:left="346" w:hanging="173"/>
      </w:pPr>
      <w:r>
        <w:t>Worked examples and every published answer key were independently checked.</w:t>
      </w:r>
    </w:p>
    <w:p>
      <w:pPr>
        <w:pStyle w:val="ListBullet"/>
        <w:ind w:left="346" w:hanging="173"/>
      </w:pPr>
      <w:r>
        <w:t>Exercises cover explanation, procedure, mixed method selection, reasoning, and transfer where appropriate.</w:t>
      </w:r>
    </w:p>
    <w:p>
      <w:pPr>
        <w:pStyle w:val="ListBullet"/>
        <w:ind w:left="346" w:hanging="173"/>
      </w:pPr>
      <w:r>
        <w:t>Sources are real, opened, correctly represented, and linked to the claims they support.</w:t>
      </w:r>
    </w:p>
    <w:p>
      <w:pPr>
        <w:pStyle w:val="ListBullet"/>
        <w:ind w:left="346" w:hanging="173"/>
      </w:pPr>
      <w:r>
        <w:t>Copyright and licence checks are complete for reused material.</w:t>
      </w:r>
    </w:p>
    <w:p>
      <w:pPr>
        <w:pStyle w:val="ListBullet"/>
        <w:ind w:left="346" w:hanging="173"/>
      </w:pPr>
      <w:r>
        <w:t>Scientific content has appropriate domain review.</w:t>
      </w:r>
    </w:p>
    <w:p>
      <w:pPr>
        <w:pStyle w:val="ListBullet"/>
        <w:ind w:left="346" w:hanging="173"/>
      </w:pPr>
      <w:r>
        <w:t>No unresolved S0 or S1 defects remain.</w:t>
      </w:r>
    </w:p>
    <w:p>
      <w:pPr>
        <w:pStyle w:val="ListBullet"/>
        <w:ind w:left="346" w:hanging="173"/>
      </w:pPr>
      <w:r>
        <w:t>Relevant regression checks have passed after the final edit.</w:t>
      </w:r>
    </w:p>
    <w:p>
      <w:pPr>
        <w:pStyle w:val="ListBullet"/>
        <w:ind w:left="346" w:hanging="173"/>
      </w:pPr>
      <w:r>
        <w:t>Reader testing is complete or its absence is explicitly disclosed.</w:t>
      </w:r>
    </w:p>
    <w:p>
      <w:pPr>
        <w:pStyle w:val="ListBullet"/>
        <w:ind w:left="346" w:hanging="173"/>
      </w:pPr>
      <w:r>
        <w:t>Final layout, equations, figures, tables, graphs, captions, in-flow prompts, and page breaks have been visually inspected.</w:t>
      </w:r>
    </w:p>
    <w:p>
      <w:pPr>
        <w:pStyle w:val="ListBullet"/>
        <w:ind w:left="346" w:hanging="173"/>
      </w:pPr>
      <w:r>
        <w:t>Version, status, reviewers, and unresolved lower-severity issues are recorded.</w:t>
      </w:r>
    </w:p>
    <w:p>
      <w:pPr>
        <w:pStyle w:val="ListBullet"/>
      </w:pPr>
      <w:r>
        <w:t>Each major visual has a defined learning purpose and matches the mathematics in the prose and equations.</w:t>
      </w:r>
    </w:p>
    <w:p>
      <w:pPr>
        <w:pStyle w:val="ListBullet"/>
      </w:pPr>
      <w:r>
        <w:t>Graph-heavy chapters contain accurate graphs and tasks in graph interpretation and construction/sketching, where appropriate.</w:t>
      </w:r>
    </w:p>
    <w:p>
      <w:pPr>
        <w:pStyle w:val="ListBullet"/>
      </w:pPr>
      <w:r>
        <w:t>Axes, scales, units, labels, legends, domain/range, captions, and accessible descriptions are present wherever relevant.</w:t>
      </w:r>
    </w:p>
    <w:p>
      <w:pPr>
        <w:pStyle w:val="ListBullet"/>
      </w:pPr>
      <w:r>
        <w:t>Exercise sets include independent equation/model construction and proof/conjecture/counterexample tasks when appropriate.</w:t>
      </w:r>
    </w:p>
    <w:p>
      <w:pPr>
        <w:pStyle w:val="ListBullet"/>
      </w:pPr>
      <w:r>
        <w:t>Mathematical formulation, interpretation, and mathematical transformation/derivation are assessed in a balanced way.</w:t>
      </w:r>
    </w:p>
    <w:p>
      <w:pPr>
        <w:pStyle w:val="Heading2"/>
        <w:keepNext/>
        <w:pageBreakBefore/>
      </w:pPr>
      <w:r>
        <w:t>Appendix D — Defect report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Issue ID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Chapter / location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Severity: S0 / S1 / S2 / S3</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Observed problem</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Why it matters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Evidence or counterexample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Proposed correction</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Affected claims, examples, exercises, or chapters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Regression checks required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Owner</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Status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Resolution and date</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p>
      <w:pPr>
        <w:pStyle w:val="Heading2"/>
      </w:pPr>
      <w:r>
        <w:t>Appendix E — Decision log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30" w:type="dxa"/>
              <w:start w:w="80" w:type="dxa"/>
              <w:bottom w:w="30" w:type="dxa"/>
              <w:end w:w="80" w:type="dxa"/>
            </w:tcMar>
          </w:tcPr>
          <w:p>
            <w:pPr>
              <w:spacing w:after="0" w:before="0" w:line="240" w:lineRule="auto"/>
            </w:pPr>
            <w:r>
              <w:rPr>
                <w:b/>
                <w:color w:val="FFFFFF"/>
                <w:sz w:val="15"/>
              </w:rPr>
              <w:t>Field</w:t>
            </w:r>
          </w:p>
        </w:tc>
        <w:tc>
          <w:tcPr>
            <w:tcW w:type="dxa" w:w="4939"/>
            <w:shd w:fill="183153"/>
            <w:tcMar>
              <w:top w:w="30" w:type="dxa"/>
              <w:start w:w="80" w:type="dxa"/>
              <w:bottom w:w="30" w:type="dxa"/>
              <w:end w:w="80" w:type="dxa"/>
            </w:tcMar>
          </w:tcPr>
          <w:p>
            <w:pPr>
              <w:spacing w:after="0" w:before="0" w:line="240" w:lineRule="auto"/>
            </w:pPr>
            <w:r>
              <w:rPr>
                <w:b/>
                <w:color w:val="FFFFFF"/>
                <w:sz w:val="15"/>
              </w:rPr>
              <w:t>Record</w:t>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Decision ID and date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Question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Options considered</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Decision</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Rationale and evidence</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Consequences</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tcPr>
          <w:p>
            <w:pPr>
              <w:spacing w:after="0" w:line="240" w:lineRule="auto" w:before="0"/>
            </w:pPr>
            <w:r>
              <w:rPr>
                <w:color w:val="202B36"/>
                <w:sz w:val="15"/>
              </w:rPr>
              <w:t>Affected documents / concept IDs</w:t>
            </w:r>
          </w:p>
        </w:tc>
        <w:tc>
          <w:tcPr>
            <w:tcW w:type="dxa" w:w="6984"/>
            <w:vAlign w:val="top"/>
            <w:tcMar>
              <w:top w:w="30" w:type="dxa"/>
              <w:start w:w="80" w:type="dxa"/>
              <w:bottom w:w="30" w:type="dxa"/>
              <w:end w:w="80" w:type="dxa"/>
            </w:tcMar>
          </w:tcPr>
          <w:p>
            <w:pPr>
              <w:spacing w:after="0" w:line="240" w:lineRule="auto" w:before="0"/>
            </w:pPr>
            <w:r>
              <w:rPr>
                <w:color w:val="202B36"/>
                <w:sz w:val="15"/>
              </w:rPr>
            </w:r>
          </w:p>
        </w:tc>
      </w:tr>
      <w:tr>
        <w:trPr>
          <w:cantSplit/>
        </w:trPr>
        <w:tc>
          <w:tcPr>
            <w:tcW w:type="dxa" w:w="3456"/>
            <w:vAlign w:val="top"/>
            <w:tcMar>
              <w:top w:w="30" w:type="dxa"/>
              <w:start w:w="80" w:type="dxa"/>
              <w:bottom w:w="30" w:type="dxa"/>
              <w:end w:w="80" w:type="dxa"/>
            </w:tcMar>
            <w:shd w:fill="F4F7FA"/>
          </w:tcPr>
          <w:p>
            <w:pPr>
              <w:spacing w:after="0" w:line="240" w:lineRule="auto" w:before="0"/>
            </w:pPr>
            <w:r>
              <w:rPr>
                <w:color w:val="202B36"/>
                <w:sz w:val="15"/>
              </w:rPr>
              <w:t>Revisit condition (if any)</w:t>
            </w:r>
          </w:p>
        </w:tc>
        <w:tc>
          <w:tcPr>
            <w:tcW w:type="dxa" w:w="6984"/>
            <w:vAlign w:val="top"/>
            <w:tcMar>
              <w:top w:w="30" w:type="dxa"/>
              <w:start w:w="80" w:type="dxa"/>
              <w:bottom w:w="30" w:type="dxa"/>
              <w:end w:w="80" w:type="dxa"/>
            </w:tcMar>
            <w:shd w:fill="F4F7FA"/>
          </w:tcPr>
          <w:p>
            <w:pPr>
              <w:spacing w:after="0" w:line="240" w:lineRule="auto" w:before="0"/>
            </w:pPr>
            <w:r>
              <w:rPr>
                <w:color w:val="202B36"/>
                <w:sz w:val="15"/>
              </w:rPr>
            </w:r>
          </w:p>
        </w:tc>
      </w:tr>
    </w:tbl>
    <w:p>
      <w:pPr>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67A"/>
        <w:sz w:val="16"/>
      </w:rPr>
      <w:t xml:space="preserve">Governing draft  •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MATHEMATICS, UNDERSTOOD  |  PROJECT BIBLE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0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Display" w:hAnsi="Aptos Display" w:eastAsia="Aptos Display"/>
      <w:b/>
      <w:bCs/>
      <w:color w:val="18315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15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Understood — Project Bible v1.3</dc:title>
  <dc:subject>Problem-first learning, mathematics pedagogy, visual reasoning, equation construction, proof discovery, and QA.</dc:subject>
  <dc:creator>Project Working Draft</dc:creator>
  <cp:keywords>mathematics education, self-study, intuition, formalism, quality assurance</cp:keywords>
  <dc:description>Version 1.2 adds scaffolded visualization independence and embedded in-flow checkpoints. Versions 1.0 and 1.1 are preserved as historical baselines.</dc:description>
  <cp:lastModifiedBy/>
  <cp:revision>1</cp:revision>
  <dcterms:created xsi:type="dcterms:W3CDTF">2013-12-23T23:15:00Z</dcterms:created>
  <dcterms:modified xsi:type="dcterms:W3CDTF">2013-12-23T23:15:00Z</dcterms:modified>
  <cp:category/>
</cp:coreProperties>
</file>