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23F33"/>
          <w:sz w:val="56"/>
          <w:szCs w:val="56"/>
        </w:rPr>
        <w:t xml:space="preserve">PeopleBind</w:t>
      </w:r>
    </w:p>
    <w:p>
      <w:pPr>
        <w:spacing w:after="500"/>
        <w:jc w:val="center"/>
      </w:pPr>
      <w:r>
        <w:rPr>
          <w:color w:val="1F7A63"/>
          <w:sz w:val="32"/>
          <w:szCs w:val="32"/>
        </w:rPr>
        <w:t xml:space="preserve">Security &amp; Data Protection Overview</w:t>
      </w:r>
    </w:p>
    <w:p>
      <w:pPr>
        <w:spacing w:after="60"/>
        <w:jc w:val="center"/>
      </w:pPr>
      <w:r>
        <w:rPr>
          <w:i/>
          <w:iCs/>
          <w:color w:val="5A6472"/>
          <w:sz w:val="22"/>
          <w:szCs w:val="22"/>
        </w:rPr>
        <w:t xml:space="preserve">Prepared for prospective and onboarding clients</w:t>
      </w:r>
    </w:p>
    <w:p>
      <w:pPr>
        <w:spacing w:after="900"/>
        <w:jc w:val="center"/>
      </w:pPr>
      <w:r>
        <w:rPr>
          <w:color w:val="5A6472"/>
          <w:sz w:val="20"/>
          <w:szCs w:val="20"/>
        </w:rPr>
        <w:t xml:space="preserve">Version 1.0 · 25 August 2026</w:t>
      </w:r>
    </w:p>
    <w:tbl>
      <w:tblPr>
        <w:tblW w:type="pct" w:w="100%"/>
        <w:tblBorders>
          <w:top w:val="single" w:color="E4C99A" w:sz="4"/>
          <w:left w:val="single" w:color="E4C99A" w:sz="4"/>
          <w:bottom w:val="single" w:color="E4C99A" w:sz="4"/>
          <w:right w:val="single" w:color="E4C99A" w:sz="4"/>
          <w:insideH w:val="single" w:color="auto" w:sz="4"/>
          <w:insideV w:val="single" w:color="auto" w:sz="4"/>
        </w:tblBorders>
      </w:tblPr>
      <w:tblGrid>
        <w:gridCol w:w="100"/>
      </w:tblGrid>
      <w:tr>
        <w:tc>
          <w:tcPr>
            <w:shd w:fill="FBF0E4" w:val="clear"/>
            <w:tcMar>
              <w:top w:type="dxa" w:w="160"/>
              <w:left w:type="dxa" w:w="200"/>
              <w:bottom w:type="dxa" w:w="160"/>
              <w:right w:type="dxa" w:w="200"/>
            </w:tcMar>
          </w:tcPr>
          <w:p>
            <w:pPr>
              <w:spacing w:line="290"/>
            </w:pPr>
            <w:r>
              <w:rPr>
                <w:i/>
                <w:iCs/>
                <w:color w:val="8A5A1E"/>
                <w:sz w:val="20"/>
                <w:szCs w:val="20"/>
              </w:rPr>
              <w:t xml:space="preserve">This document describes PeopleBind’s current security practices and technical safeguards as of the date above. It is provided for informational purposes to support a client’s own security review and is not itself a legal contract, Data Processing Agreement, or warranty. PeopleBind recommends that both parties’ legal counsel review the definitive data-security terms before signing any agreement referencing this document.</w:t>
            </w:r>
          </w:p>
        </w:tc>
      </w:tr>
    </w:tbl>
    <w:p>
      <w:r>
        <w:br w:type="page"/>
      </w:r>
    </w:p>
    <w:p>
      <w:pPr>
        <w:pStyle w:val="Heading1"/>
        <w:spacing w:after="20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80"/>
      </w:pPr>
      <w:r>
        <w:t xml:space="preserve">1. Introduction</w:t>
      </w:r>
    </w:p>
    <w:p>
      <w:pPr>
        <w:spacing w:after="160" w:line="300"/>
      </w:pPr>
      <w:r>
        <w:rPr>
          <w:color w:val="1A1A1A"/>
          <w:sz w:val="21"/>
          <w:szCs w:val="21"/>
        </w:rPr>
        <w:t xml:space="preserve">PeopleBind is a multi-tenant HR and payroll platform. Each client company (a "tenant") has its own isolated data space within a shared application — employee records, attendance, leave, payroll, documents, and related HR data. This document explains how that isolation and the platform’s broader security posture are implemented and maintained, in plain terms suitable for a client’s own IT, legal, or security review.</w:t>
      </w:r>
    </w:p>
    <w:p>
      <w:pPr>
        <w:spacing w:after="160" w:line="300"/>
      </w:pPr>
      <w:r>
        <w:rPr>
          <w:color w:val="1A1A1A"/>
          <w:sz w:val="21"/>
          <w:szCs w:val="21"/>
        </w:rPr>
        <w:t xml:space="preserve">This document is reviewed and updated as the platform evolves. The most recent update followed a full internal security audit conducted on 25 August 2026, described in Section 9.</w:t>
      </w:r>
    </w:p>
    <w:p>
      <w:pPr>
        <w:pStyle w:val="Heading1"/>
        <w:spacing w:after="200" w:before="480"/>
      </w:pPr>
      <w:r>
        <w:t xml:space="preserve">2. Infrastructure &amp; Hosting</w:t>
      </w:r>
    </w:p>
    <w:p>
      <w:pPr>
        <w:spacing w:after="160" w:line="300"/>
      </w:pPr>
      <w:r>
        <w:rPr>
          <w:color w:val="1A1A1A"/>
          <w:sz w:val="21"/>
          <w:szCs w:val="21"/>
        </w:rPr>
        <w:t xml:space="preserve">PeopleBind is built on Supabase, a managed backend platform built on PostgreSQL. Supabase hosts the database, authentication, file storage, and serverless functions that PeopleBind runs on — PeopleBind does not operate its own physical servers or database infrastructure.</w:t>
      </w:r>
    </w:p>
    <w:p>
      <w:pPr>
        <w:pStyle w:val="Heading2"/>
        <w:spacing w:after="140" w:before="320"/>
      </w:pPr>
      <w:r>
        <w:t xml:space="preserve">2.1 Sub-processor certifications</w:t>
      </w:r>
    </w:p>
    <w:p>
      <w:pPr>
        <w:spacing w:after="160" w:line="300"/>
      </w:pPr>
      <w:r>
        <w:rPr>
          <w:color w:val="1A1A1A"/>
          <w:sz w:val="21"/>
          <w:szCs w:val="21"/>
        </w:rPr>
        <w:t xml:space="preserve">Supabase publishes SOC 2 Type II and ISO 27001 compliance documentation for its infrastructure. PeopleBind relies on these as part of its overall security posture. We recommend confirming Supabase’s current certification status directly at supabase.com/security as part of any formal vendor-security review, since certification status can change and should be verified against the vendor’s live documentation rather than this document alone.</w:t>
      </w:r>
    </w:p>
    <w:p>
      <w:pPr>
        <w:pStyle w:val="Heading2"/>
        <w:spacing w:after="140" w:before="320"/>
      </w:pPr>
      <w:r>
        <w:t xml:space="preserve">2.2 Data residency</w:t>
      </w:r>
    </w:p>
    <w:p>
      <w:pPr>
        <w:spacing w:after="160" w:line="300"/>
      </w:pPr>
      <w:r>
        <w:rPr>
          <w:color w:val="1A1A1A"/>
          <w:sz w:val="21"/>
          <w:szCs w:val="21"/>
        </w:rPr>
        <w:t xml:space="preserve">The specific hosting region for a client’s data is a project-level configuration choice. PeopleBind will confirm the exact region in writing on request, and can discuss regional hosting preferences (e.g. for data-residency requirements) before onboarding.</w:t>
      </w:r>
    </w:p>
    <w:p>
      <w:pPr>
        <w:pStyle w:val="Heading1"/>
        <w:spacing w:after="200" w:before="480"/>
      </w:pPr>
      <w:r>
        <w:t xml:space="preserve">3. Multi-Tenant Data Isolation</w:t>
      </w:r>
    </w:p>
    <w:p>
      <w:pPr>
        <w:spacing w:after="160" w:line="300"/>
      </w:pPr>
      <w:r>
        <w:rPr>
          <w:color w:val="1A1A1A"/>
          <w:sz w:val="21"/>
          <w:szCs w:val="21"/>
        </w:rPr>
        <w:t xml:space="preserve">The core security guarantee PeopleBind makes to every client is this: your company’s data is never visible to another company using the platform, and never visible to a PeopleBind user who is not one of your own authorized users.</w:t>
      </w:r>
    </w:p>
    <w:p>
      <w:pPr>
        <w:pStyle w:val="Heading2"/>
        <w:spacing w:after="140" w:before="320"/>
      </w:pPr>
      <w:r>
        <w:t xml:space="preserve">3.1 How isolation is enforced</w:t>
      </w:r>
    </w:p>
    <w:p>
      <w:pPr>
        <w:spacing w:after="160" w:line="300"/>
      </w:pPr>
      <w:r>
        <w:rPr>
          <w:color w:val="1A1A1A"/>
          <w:sz w:val="21"/>
          <w:szCs w:val="21"/>
        </w:rPr>
        <w:t xml:space="preserve">This is enforced at the database layer using PostgreSQL Row-Level Security (RLS), not just in application code. Every table that holds tenant data — employees, attendance, leave, payroll, documents, and more — has RLS policies that require a matching company identifier before any row can be read or written. This means even if there were a bug in the application’s own logic, the database itself refuses cross-tenant reads and writes at the lowest level. As of the August 2026 audit, RLS is enabled on all 68 production tables, with no exceptions.</w:t>
      </w:r>
    </w:p>
    <w:p>
      <w:pPr>
        <w:pStyle w:val="Heading2"/>
        <w:spacing w:after="140" w:before="320"/>
      </w:pPr>
      <w:r>
        <w:t xml:space="preserve">3.2 Platform administration</w:t>
      </w:r>
    </w:p>
    <w:p>
      <w:pPr>
        <w:spacing w:after="160" w:line="300"/>
      </w:pPr>
      <w:r>
        <w:rPr>
          <w:color w:val="1A1A1A"/>
          <w:sz w:val="21"/>
          <w:szCs w:val="21"/>
        </w:rPr>
        <w:t xml:space="preserve">A small number of designated PeopleBind personnel hold platform-administrator access for support and account provisioning. This access is itself access-controlled (restricted to named individuals, not a general role) and is separate from any individual client company’s own administrator access. Platform-administrator actions are not a substitute for a client’s own role-based permissions — see Section 4.</w:t>
      </w:r>
    </w:p>
    <w:p>
      <w:pPr>
        <w:pStyle w:val="Heading1"/>
        <w:spacing w:after="200" w:before="480"/>
      </w:pPr>
      <w:r>
        <w:t xml:space="preserve">4. Authentication &amp; Access Control</w:t>
      </w:r>
    </w:p>
    <w:p>
      <w:pPr>
        <w:pStyle w:val="Heading2"/>
        <w:spacing w:after="140" w:before="320"/>
      </w:pPr>
      <w:r>
        <w:t xml:space="preserve">4.1 Authentication</w:t>
      </w:r>
    </w:p>
    <w:p>
      <w:pPr>
        <w:spacing w:after="160" w:line="300"/>
      </w:pPr>
      <w:r>
        <w:rPr>
          <w:color w:val="1A1A1A"/>
          <w:sz w:val="21"/>
          <w:szCs w:val="21"/>
        </w:rPr>
        <w:t xml:space="preserve">User sign-in is handled by Supabase Auth (email/password, with session tokens managed by the underlying platform, not custom-built token handling in the application). Sessions use short-lived access tokens with automatic refresh; a compromised token has a limited window of validity.</w:t>
      </w:r>
    </w:p>
    <w:p>
      <w:pPr>
        <w:pStyle w:val="Heading2"/>
        <w:spacing w:after="140" w:before="320"/>
      </w:pPr>
      <w:r>
        <w:t xml:space="preserve">4.2 Role-based access control</w:t>
      </w:r>
    </w:p>
    <w:p>
      <w:pPr>
        <w:spacing w:after="160" w:line="300"/>
      </w:pPr>
      <w:r>
        <w:rPr>
          <w:color w:val="1A1A1A"/>
          <w:sz w:val="21"/>
          <w:szCs w:val="21"/>
        </w:rPr>
        <w:t xml:space="preserve">Within a client company, access is governed by a configurable role and permission system. Company administrators define roles (e.g. HR Admin, Payroll Admin, Manager) and assign granular permissions per role — for example, the ability to approve leave, run payroll, or manage company settings are each independent, separately grantable permissions. Employees without administrative roles only ever see their own records through a separate, more restricted employee self-service view.</w:t>
      </w:r>
    </w:p>
    <w:p>
      <w:pPr>
        <w:pStyle w:val="Heading2"/>
        <w:spacing w:after="140" w:before="320"/>
      </w:pPr>
      <w:r>
        <w:t xml:space="preserve">4.3 Least-privilege enforcement in the database</w:t>
      </w:r>
    </w:p>
    <w:p>
      <w:pPr>
        <w:spacing w:after="160" w:line="300"/>
      </w:pPr>
      <w:r>
        <w:rPr>
          <w:color w:val="1A1A1A"/>
          <w:sz w:val="21"/>
          <w:szCs w:val="21"/>
        </w:rPr>
        <w:t xml:space="preserve">Permission checks are enforced server-side, inside the database’s own security policies — not only in the application’s user interface. This matters because it means permissions cannot be bypassed by calling the underlying API directly; the same rule that hides a button in the interface also blocks the equivalent database operation.</w:t>
      </w:r>
    </w:p>
    <w:p>
      <w:pPr>
        <w:pStyle w:val="Heading1"/>
        <w:spacing w:after="200" w:before="480"/>
      </w:pPr>
      <w:r>
        <w:t xml:space="preserve">5. Encryption</w:t>
      </w:r>
    </w:p>
    <w:p>
      <w:pPr>
        <w:pStyle w:val="ListParagraph"/>
        <w:numPr>
          <w:ilvl w:val="0"/>
          <w:numId w:val="2"/>
        </w:numPr>
        <w:spacing w:after="90" w:line="290"/>
      </w:pPr>
      <w:r>
        <w:rPr>
          <w:color w:val="1A1A1A"/>
          <w:sz w:val="21"/>
          <w:szCs w:val="21"/>
        </w:rPr>
        <w:t xml:space="preserve">In transit: all client–server traffic is encrypted via HTTPS/TLS. The application does not offer or fall back to an unencrypted connection.</w:t>
      </w:r>
    </w:p>
    <w:p>
      <w:pPr>
        <w:pStyle w:val="ListParagraph"/>
        <w:numPr>
          <w:ilvl w:val="0"/>
          <w:numId w:val="2"/>
        </w:numPr>
        <w:spacing w:after="90" w:line="290"/>
      </w:pPr>
      <w:r>
        <w:rPr>
          <w:color w:val="1A1A1A"/>
          <w:sz w:val="21"/>
          <w:szCs w:val="21"/>
        </w:rPr>
        <w:t xml:space="preserve">At rest: the underlying PostgreSQL database is encrypted at rest by the hosting platform.</w:t>
      </w:r>
    </w:p>
    <w:p>
      <w:pPr>
        <w:pStyle w:val="ListParagraph"/>
        <w:numPr>
          <w:ilvl w:val="0"/>
          <w:numId w:val="2"/>
        </w:numPr>
        <w:spacing w:after="90" w:line="290"/>
      </w:pPr>
      <w:r>
        <w:rPr>
          <w:color w:val="1A1A1A"/>
          <w:sz w:val="21"/>
          <w:szCs w:val="21"/>
        </w:rPr>
        <w:t xml:space="preserve">Secrets management: API keys and service credentials used by the application’s backend are stored in the hosting platform’s managed secrets store, not in application source code. Only a public, intentionally-restricted "anon" key is ever present in client-side code, and it carries no access on its own — all real authorization happens via the RLS policies described in Section 3.</w:t>
      </w:r>
    </w:p>
    <w:p>
      <w:pPr>
        <w:pStyle w:val="Heading1"/>
        <w:spacing w:after="200" w:before="480"/>
      </w:pPr>
      <w:r>
        <w:t xml:space="preserve">6. Application Security Practices</w:t>
      </w:r>
    </w:p>
    <w:p>
      <w:pPr>
        <w:pStyle w:val="ListParagraph"/>
        <w:numPr>
          <w:ilvl w:val="0"/>
          <w:numId w:val="2"/>
        </w:numPr>
        <w:spacing w:after="90" w:line="290"/>
      </w:pPr>
      <w:r>
        <w:rPr>
          <w:color w:val="1A1A1A"/>
          <w:sz w:val="21"/>
          <w:szCs w:val="21"/>
        </w:rPr>
        <w:t xml:space="preserve">User-submitted content (names, notes, chat messages, announcements, etc.) is rendered as plain text throughout the application, not interpreted as HTML — this is the default, and confirmed audit finding, that prevents a common web-application vulnerability (cross-site scripting) from user-entered data.</w:t>
      </w:r>
    </w:p>
    <w:p>
      <w:pPr>
        <w:pStyle w:val="ListParagraph"/>
        <w:numPr>
          <w:ilvl w:val="0"/>
          <w:numId w:val="2"/>
        </w:numPr>
        <w:spacing w:after="90" w:line="290"/>
      </w:pPr>
      <w:r>
        <w:rPr>
          <w:color w:val="1A1A1A"/>
          <w:sz w:val="21"/>
          <w:szCs w:val="21"/>
        </w:rPr>
        <w:t xml:space="preserve">No database credentials, service-role keys, or other elevated secrets are ever shipped to the browser.</w:t>
      </w:r>
    </w:p>
    <w:p>
      <w:pPr>
        <w:pStyle w:val="ListParagraph"/>
        <w:numPr>
          <w:ilvl w:val="0"/>
          <w:numId w:val="2"/>
        </w:numPr>
        <w:spacing w:after="90" w:line="290"/>
      </w:pPr>
      <w:r>
        <w:rPr>
          <w:color w:val="1A1A1A"/>
          <w:sz w:val="21"/>
          <w:szCs w:val="21"/>
        </w:rPr>
        <w:t xml:space="preserve">File access for sensitive documents (e.g. employee CNIC, contracts) is granted through short-lived, time-limited links rather than permanent public URLs.</w:t>
      </w:r>
    </w:p>
    <w:p>
      <w:pPr>
        <w:pStyle w:val="ListParagraph"/>
        <w:numPr>
          <w:ilvl w:val="0"/>
          <w:numId w:val="2"/>
        </w:numPr>
        <w:spacing w:after="90" w:line="290"/>
      </w:pPr>
      <w:r>
        <w:rPr>
          <w:color w:val="1A1A1A"/>
          <w:sz w:val="21"/>
          <w:szCs w:val="21"/>
        </w:rPr>
        <w:t xml:space="preserve">The engineering team conducts periodic security reviews of the database policy layer, server-side functions, and application code; the most recent full review is summarized in Section 9.</w:t>
      </w:r>
    </w:p>
    <w:p>
      <w:pPr>
        <w:pStyle w:val="Heading1"/>
        <w:spacing w:after="200" w:before="480"/>
      </w:pPr>
      <w:r>
        <w:t xml:space="preserve">7. Audit Logging</w:t>
      </w:r>
    </w:p>
    <w:p>
      <w:pPr>
        <w:spacing w:after="160" w:line="300"/>
      </w:pPr>
      <w:r>
        <w:rPr>
          <w:color w:val="1A1A1A"/>
          <w:sz w:val="21"/>
          <w:szCs w:val="21"/>
        </w:rPr>
        <w:t xml:space="preserve">Significant data changes are recorded in an internal audit log, which a client’s own administrators can review within the application. This supports internal accountability (who changed what, and when) and can assist in investigating a suspected issue.</w:t>
      </w:r>
    </w:p>
    <w:p>
      <w:pPr>
        <w:pStyle w:val="Heading1"/>
        <w:spacing w:after="200" w:before="480"/>
      </w:pPr>
      <w:r>
        <w:t xml:space="preserve">8. Backup &amp; Disaster Recovery</w:t>
      </w:r>
    </w:p>
    <w:p>
      <w:pPr>
        <w:spacing w:after="160" w:line="300"/>
      </w:pPr>
      <w:r>
        <w:rPr>
          <w:color w:val="1A1A1A"/>
          <w:sz w:val="21"/>
          <w:szCs w:val="21"/>
        </w:rPr>
        <w:t xml:space="preserve">The underlying hosting platform performs automated backups of the production database. Exact backup frequency and retention window depend on the specific infrastructure plan tier in use; PeopleBind will confirm the current backup schedule and retention period in writing as part of onboarding, and will notify the client in advance of any change that reduces backup coverage.</w:t>
      </w:r>
    </w:p>
    <w:p>
      <w:pPr>
        <w:pStyle w:val="Heading1"/>
        <w:spacing w:after="200" w:before="480"/>
      </w:pPr>
      <w:r>
        <w:t xml:space="preserve">9. August 2026 Security Audit</w:t>
      </w:r>
    </w:p>
    <w:p>
      <w:pPr>
        <w:spacing w:after="160" w:line="300"/>
      </w:pPr>
      <w:r>
        <w:rPr>
          <w:color w:val="1A1A1A"/>
          <w:sz w:val="21"/>
          <w:szCs w:val="21"/>
        </w:rPr>
        <w:t xml:space="preserve">On 25 August 2026, PeopleBind conducted a full internal security review covering the database authorization layer, server-side functions, and the client application, ahead of onboarding new clients. The review confirmed Row-Level Security is enabled on all production tables, and found no evidence of a cross-site-scripting vulnerability, exposed secret, or insecure direct object reference in the application.</w:t>
      </w:r>
    </w:p>
    <w:p>
      <w:pPr>
        <w:spacing w:after="160" w:line="300"/>
      </w:pPr>
      <w:r>
        <w:rPr>
          <w:color w:val="1A1A1A"/>
          <w:sz w:val="21"/>
          <w:szCs w:val="21"/>
        </w:rPr>
        <w:t xml:space="preserve">The review did identify and immediately remediate the following gaps, none of which are known to have been exploited:</w:t>
      </w:r>
    </w:p>
    <w:p>
      <w:pPr>
        <w:pStyle w:val="ListParagraph"/>
        <w:numPr>
          <w:ilvl w:val="0"/>
          <w:numId w:val="2"/>
        </w:numPr>
        <w:spacing w:after="90" w:line="290"/>
      </w:pPr>
      <w:r>
        <w:rPr>
          <w:color w:val="1A1A1A"/>
          <w:sz w:val="21"/>
          <w:szCs w:val="21"/>
        </w:rPr>
        <w:t xml:space="preserve">A small number of internal server-side functions (used for scheduled reminders, notification delivery, and payroll settlement/onboarding actions) were reachable via the platform’s API with less restrictive checks than intended — in some cases missing a check that the record being acted on belonged to the caller’s own company, and in a few internal-only helper functions, missing any restriction at all. All of these were corrected the same day: authorization checks were added or tightened so that every action is explicitly confined to the acting user’s own company (with a small, named set of platform administrators exempted for legitimate support purposes), and functions meant to run only on an internal schedule were restricted so they can no longer be invoked directly over the public API.</w:t>
      </w:r>
    </w:p>
    <w:p>
      <w:pPr>
        <w:pStyle w:val="ListParagraph"/>
        <w:numPr>
          <w:ilvl w:val="0"/>
          <w:numId w:val="2"/>
        </w:numPr>
        <w:spacing w:after="90" w:line="290"/>
      </w:pPr>
      <w:r>
        <w:rPr>
          <w:color w:val="1A1A1A"/>
          <w:sz w:val="21"/>
          <w:szCs w:val="21"/>
        </w:rPr>
        <w:t xml:space="preserve">Each fix was verified using isolated, rolled-back test transactions simulating both a legitimate same-company user (confirmed still working correctly) and a user attempting the same action against a different company’s data (confirmed blocked).</w:t>
      </w:r>
    </w:p>
    <w:tbl>
      <w:tblPr>
        <w:tblW w:type="pct" w:w="100%"/>
        <w:tblBorders>
          <w:top w:val="single" w:color="E4C99A" w:sz="4"/>
          <w:left w:val="single" w:color="E4C99A" w:sz="4"/>
          <w:bottom w:val="single" w:color="E4C99A" w:sz="4"/>
          <w:right w:val="single" w:color="E4C99A" w:sz="4"/>
          <w:insideH w:val="single" w:color="auto" w:sz="4"/>
          <w:insideV w:val="single" w:color="auto" w:sz="4"/>
        </w:tblBorders>
      </w:tblPr>
      <w:tblGrid>
        <w:gridCol w:w="100"/>
      </w:tblGrid>
      <w:tr>
        <w:tc>
          <w:tcPr>
            <w:shd w:fill="FBF0E4" w:val="clear"/>
            <w:tcMar>
              <w:top w:type="dxa" w:w="160"/>
              <w:left w:type="dxa" w:w="200"/>
              <w:bottom w:type="dxa" w:w="160"/>
              <w:right w:type="dxa" w:w="200"/>
            </w:tcMar>
          </w:tcPr>
          <w:p>
            <w:pPr>
              <w:spacing w:line="290"/>
            </w:pPr>
            <w:r>
              <w:rPr>
                <w:i/>
                <w:iCs/>
                <w:color w:val="8A5A1E"/>
                <w:sz w:val="20"/>
                <w:szCs w:val="20"/>
              </w:rPr>
              <w:t xml:space="preserve">This kind of review is now part of PeopleBind’s standard practice before onboarding a new client, and will be repeated periodically as the platform evolves. A summary of findings and remediation from any future review can be provided to clients on request.</w:t>
            </w:r>
          </w:p>
        </w:tc>
      </w:tr>
    </w:tbl>
    <w:p>
      <w:pPr>
        <w:pStyle w:val="Heading1"/>
        <w:spacing w:after="200" w:before="480"/>
      </w:pPr>
      <w:r>
        <w:t xml:space="preserve">10. Data Retention &amp; Deletion</w:t>
      </w:r>
    </w:p>
    <w:p>
      <w:pPr>
        <w:spacing w:after="160" w:line="300"/>
      </w:pPr>
      <w:r>
        <w:rPr>
          <w:color w:val="1A1A1A"/>
          <w:sz w:val="21"/>
          <w:szCs w:val="21"/>
        </w:rPr>
        <w:t xml:space="preserve">Client data is retained for as long as the client’s account is active. On account closure, PeopleBind will work with the client to agree a data export and deletion timeline; the specific retention and deletion terms for a given engagement should be documented in the client’s services agreement or Data Processing Agreement rather than assumed from this document.</w:t>
      </w:r>
    </w:p>
    <w:p>
      <w:pPr>
        <w:pStyle w:val="Heading1"/>
        <w:spacing w:after="200" w:before="480"/>
      </w:pPr>
      <w:r>
        <w:t xml:space="preserve">11. Sub-processors</w:t>
      </w:r>
    </w:p>
    <w:p>
      <w:pPr>
        <w:spacing w:after="160" w:line="300"/>
      </w:pPr>
      <w:r>
        <w:rPr>
          <w:color w:val="1A1A1A"/>
          <w:sz w:val="21"/>
          <w:szCs w:val="21"/>
        </w:rPr>
        <w:t xml:space="preserve">PeopleBind uses the following third-party services in the course of delivering the product. A client’s data may pass through these services as part of normal operation: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40"/>
      </w:tblGrid>
      <w:tr>
        <w:tc>
          <w:tcPr>
            <w:tcW w:type="dxa" w:w="3200"/>
            <w:shd w:fill="123F33" w:val="clear"/>
            <w:tcMar>
              <w:top w:type="dxa" w:w="120"/>
              <w:left w:type="dxa" w:w="140"/>
              <w:bottom w:type="dxa" w:w="120"/>
              <w:right w:type="dxa" w:w="140"/>
            </w:tcMar>
            <w:vAlign w:val="center"/>
          </w:tcPr>
          <w:p>
            <w:r>
              <w:rPr>
                <w:b/>
                <w:bCs/>
                <w:color w:val="FFFFFF"/>
                <w:sz w:val="19"/>
                <w:szCs w:val="19"/>
              </w:rPr>
              <w:t xml:space="preserve">Sub-processor</w:t>
            </w:r>
          </w:p>
        </w:tc>
        <w:tc>
          <w:tcPr>
            <w:tcW w:type="dxa" w:w="3600"/>
            <w:shd w:fill="123F33" w:val="clear"/>
            <w:tcMar>
              <w:top w:type="dxa" w:w="120"/>
              <w:left w:type="dxa" w:w="140"/>
              <w:bottom w:type="dxa" w:w="120"/>
              <w:right w:type="dxa" w:w="140"/>
            </w:tcMar>
            <w:vAlign w:val="center"/>
          </w:tcPr>
          <w:p>
            <w:r>
              <w:rPr>
                <w:b/>
                <w:bCs/>
                <w:color w:val="FFFFFF"/>
                <w:sz w:val="19"/>
                <w:szCs w:val="19"/>
              </w:rPr>
              <w:t xml:space="preserve">Purpose</w:t>
            </w:r>
          </w:p>
        </w:tc>
        <w:tc>
          <w:tcPr>
            <w:tcW w:type="dxa" w:w="2440"/>
            <w:shd w:fill="123F33" w:val="clear"/>
            <w:tcMar>
              <w:top w:type="dxa" w:w="120"/>
              <w:left w:type="dxa" w:w="140"/>
              <w:bottom w:type="dxa" w:w="120"/>
              <w:right w:type="dxa" w:w="140"/>
            </w:tcMar>
            <w:vAlign w:val="center"/>
          </w:tcPr>
          <w:p>
            <w:r>
              <w:rPr>
                <w:b/>
                <w:bCs/>
                <w:color w:val="FFFFFF"/>
                <w:sz w:val="19"/>
                <w:szCs w:val="19"/>
              </w:rPr>
              <w:t xml:space="preserve">Data involved</w:t>
            </w:r>
          </w:p>
        </w:tc>
      </w:tr>
      <w:tr>
        <w:tc>
          <w:tcPr>
            <w:tcW w:type="dxa" w:w="3200"/>
            <w:tcMar>
              <w:top w:type="dxa" w:w="110"/>
              <w:left w:type="dxa" w:w="140"/>
              <w:bottom w:type="dxa" w:w="110"/>
              <w:right w:type="dxa" w:w="140"/>
            </w:tcMar>
            <w:vAlign w:val="center"/>
          </w:tcPr>
          <w:p>
            <w:pPr>
              <w:spacing w:line="270"/>
            </w:pPr>
            <w:r>
              <w:rPr>
                <w:color w:val="1A1A1A"/>
                <w:sz w:val="19"/>
                <w:szCs w:val="19"/>
              </w:rPr>
              <w:t xml:space="preserve">Supabase</w:t>
            </w:r>
          </w:p>
        </w:tc>
        <w:tc>
          <w:tcPr>
            <w:tcW w:type="dxa" w:w="3600"/>
            <w:tcMar>
              <w:top w:type="dxa" w:w="110"/>
              <w:left w:type="dxa" w:w="140"/>
              <w:bottom w:type="dxa" w:w="110"/>
              <w:right w:type="dxa" w:w="140"/>
            </w:tcMar>
            <w:vAlign w:val="center"/>
          </w:tcPr>
          <w:p>
            <w:pPr>
              <w:spacing w:line="270"/>
            </w:pPr>
            <w:r>
              <w:rPr>
                <w:color w:val="1A1A1A"/>
                <w:sz w:val="19"/>
                <w:szCs w:val="19"/>
              </w:rPr>
              <w:t xml:space="preserve">Database, authentication, file storage, and serverless backend functions</w:t>
            </w:r>
          </w:p>
        </w:tc>
        <w:tc>
          <w:tcPr>
            <w:tcW w:type="dxa" w:w="2440"/>
            <w:tcMar>
              <w:top w:type="dxa" w:w="110"/>
              <w:left w:type="dxa" w:w="140"/>
              <w:bottom w:type="dxa" w:w="110"/>
              <w:right w:type="dxa" w:w="140"/>
            </w:tcMar>
            <w:vAlign w:val="center"/>
          </w:tcPr>
          <w:p>
            <w:pPr>
              <w:spacing w:line="270"/>
            </w:pPr>
            <w:r>
              <w:rPr>
                <w:color w:val="1A1A1A"/>
                <w:sz w:val="19"/>
                <w:szCs w:val="19"/>
              </w:rPr>
              <w:t xml:space="preserve">All application data</w:t>
            </w:r>
          </w:p>
        </w:tc>
      </w:tr>
      <w:tr>
        <w:tc>
          <w:tcPr>
            <w:tcW w:type="dxa" w:w="3200"/>
            <w:tcMar>
              <w:top w:type="dxa" w:w="110"/>
              <w:left w:type="dxa" w:w="140"/>
              <w:bottom w:type="dxa" w:w="110"/>
              <w:right w:type="dxa" w:w="140"/>
            </w:tcMar>
            <w:vAlign w:val="center"/>
          </w:tcPr>
          <w:p>
            <w:pPr>
              <w:spacing w:line="270"/>
            </w:pPr>
            <w:r>
              <w:rPr>
                <w:color w:val="1A1A1A"/>
                <w:sz w:val="19"/>
                <w:szCs w:val="19"/>
              </w:rPr>
              <w:t xml:space="preserve">Resend</w:t>
            </w:r>
          </w:p>
        </w:tc>
        <w:tc>
          <w:tcPr>
            <w:tcW w:type="dxa" w:w="3600"/>
            <w:tcMar>
              <w:top w:type="dxa" w:w="110"/>
              <w:left w:type="dxa" w:w="140"/>
              <w:bottom w:type="dxa" w:w="110"/>
              <w:right w:type="dxa" w:w="140"/>
            </w:tcMar>
            <w:vAlign w:val="center"/>
          </w:tcPr>
          <w:p>
            <w:pPr>
              <w:spacing w:line="270"/>
            </w:pPr>
            <w:r>
              <w:rPr>
                <w:color w:val="1A1A1A"/>
                <w:sz w:val="19"/>
                <w:szCs w:val="19"/>
              </w:rPr>
              <w:t xml:space="preserve">Transactional email delivery (e.g. payslip emails, invite links)</w:t>
            </w:r>
          </w:p>
        </w:tc>
        <w:tc>
          <w:tcPr>
            <w:tcW w:type="dxa" w:w="2440"/>
            <w:tcMar>
              <w:top w:type="dxa" w:w="110"/>
              <w:left w:type="dxa" w:w="140"/>
              <w:bottom w:type="dxa" w:w="110"/>
              <w:right w:type="dxa" w:w="140"/>
            </w:tcMar>
            <w:vAlign w:val="center"/>
          </w:tcPr>
          <w:p>
            <w:pPr>
              <w:spacing w:line="270"/>
            </w:pPr>
            <w:r>
              <w:rPr>
                <w:color w:val="1A1A1A"/>
                <w:sz w:val="19"/>
                <w:szCs w:val="19"/>
              </w:rPr>
              <w:t xml:space="preserve">Recipient email address and email content</w:t>
            </w:r>
          </w:p>
        </w:tc>
      </w:tr>
      <w:tr>
        <w:tc>
          <w:tcPr>
            <w:tcW w:type="dxa" w:w="3200"/>
            <w:tcMar>
              <w:top w:type="dxa" w:w="110"/>
              <w:left w:type="dxa" w:w="140"/>
              <w:bottom w:type="dxa" w:w="110"/>
              <w:right w:type="dxa" w:w="140"/>
            </w:tcMar>
            <w:vAlign w:val="center"/>
          </w:tcPr>
          <w:p>
            <w:pPr>
              <w:spacing w:line="270"/>
            </w:pPr>
            <w:r>
              <w:rPr>
                <w:color w:val="1A1A1A"/>
                <w:sz w:val="19"/>
                <w:szCs w:val="19"/>
              </w:rPr>
              <w:t xml:space="preserve">Anthropic (Claude API)</w:t>
            </w:r>
          </w:p>
        </w:tc>
        <w:tc>
          <w:tcPr>
            <w:tcW w:type="dxa" w:w="3600"/>
            <w:tcMar>
              <w:top w:type="dxa" w:w="110"/>
              <w:left w:type="dxa" w:w="140"/>
              <w:bottom w:type="dxa" w:w="110"/>
              <w:right w:type="dxa" w:w="140"/>
            </w:tcMar>
            <w:vAlign w:val="center"/>
          </w:tcPr>
          <w:p>
            <w:pPr>
              <w:spacing w:line="270"/>
            </w:pPr>
            <w:r>
              <w:rPr>
                <w:color w:val="1A1A1A"/>
                <w:sz w:val="19"/>
                <w:szCs w:val="19"/>
              </w:rPr>
              <w:t xml:space="preserve">AI-assisted drafting of support-ticket and chat replies</w:t>
            </w:r>
          </w:p>
        </w:tc>
        <w:tc>
          <w:tcPr>
            <w:tcW w:type="dxa" w:w="2440"/>
            <w:tcMar>
              <w:top w:type="dxa" w:w="110"/>
              <w:left w:type="dxa" w:w="140"/>
              <w:bottom w:type="dxa" w:w="110"/>
              <w:right w:type="dxa" w:w="140"/>
            </w:tcMar>
            <w:vAlign w:val="center"/>
          </w:tcPr>
          <w:p>
            <w:pPr>
              <w:spacing w:line="270"/>
            </w:pPr>
            <w:r>
              <w:rPr>
                <w:color w:val="1A1A1A"/>
                <w:sz w:val="19"/>
                <w:szCs w:val="19"/>
              </w:rPr>
              <w:t xml:space="preserve">Support conversation text</w:t>
            </w:r>
          </w:p>
        </w:tc>
      </w:tr>
    </w:tbl>
    <w:p>
      <w:pPr>
        <w:spacing w:after="160"/>
      </w:pPr>
    </w:p>
    <w:p>
      <w:pPr>
        <w:spacing w:after="160" w:line="300"/>
      </w:pPr>
      <w:r>
        <w:rPr>
          <w:color w:val="1A1A1A"/>
          <w:sz w:val="21"/>
          <w:szCs w:val="21"/>
        </w:rPr>
        <w:t xml:space="preserve">PeopleBind will maintain and share an up-to-date sub-processor list on request, and will provide reasonable advance notice before adding a new sub-processor that would process client data.</w:t>
      </w:r>
    </w:p>
    <w:p>
      <w:pPr>
        <w:pStyle w:val="Heading1"/>
        <w:spacing w:after="200" w:before="480"/>
      </w:pPr>
      <w:r>
        <w:t xml:space="preserve">12. Incident Response</w:t>
      </w:r>
    </w:p>
    <w:p>
      <w:pPr>
        <w:spacing w:after="160" w:line="300"/>
      </w:pPr>
      <w:r>
        <w:rPr>
          <w:color w:val="1A1A1A"/>
          <w:sz w:val="21"/>
          <w:szCs w:val="21"/>
        </w:rPr>
        <w:t xml:space="preserve">In the event of a confirmed security incident affecting client data, PeopleBind will:</w:t>
      </w:r>
    </w:p>
    <w:p>
      <w:pPr>
        <w:pStyle w:val="ListParagraph"/>
        <w:numPr>
          <w:ilvl w:val="0"/>
          <w:numId w:val="2"/>
        </w:numPr>
        <w:spacing w:after="90" w:line="290"/>
      </w:pPr>
      <w:r>
        <w:rPr>
          <w:color w:val="1A1A1A"/>
          <w:sz w:val="21"/>
          <w:szCs w:val="21"/>
        </w:rPr>
        <w:t xml:space="preserve">Contain and investigate the issue as a priority, using the same isolated-verification approach described in Section 9 to confirm a fix before considering the incident resolved.</w:t>
      </w:r>
    </w:p>
    <w:p>
      <w:pPr>
        <w:pStyle w:val="ListParagraph"/>
        <w:numPr>
          <w:ilvl w:val="0"/>
          <w:numId w:val="2"/>
        </w:numPr>
        <w:spacing w:after="90" w:line="290"/>
      </w:pPr>
      <w:r>
        <w:rPr>
          <w:color w:val="1A1A1A"/>
          <w:sz w:val="21"/>
          <w:szCs w:val="21"/>
        </w:rPr>
        <w:t xml:space="preserve">Notify affected clients without undue delay once the nature and scope of the incident is understood, and in any case within the timeframe agreed in the client’s services agreement.</w:t>
      </w:r>
    </w:p>
    <w:p>
      <w:pPr>
        <w:pStyle w:val="ListParagraph"/>
        <w:numPr>
          <w:ilvl w:val="0"/>
          <w:numId w:val="2"/>
        </w:numPr>
        <w:spacing w:after="90" w:line="290"/>
      </w:pPr>
      <w:r>
        <w:rPr>
          <w:color w:val="1A1A1A"/>
          <w:sz w:val="21"/>
          <w:szCs w:val="21"/>
        </w:rPr>
        <w:t xml:space="preserve">Provide a written summary of the incident, its cause, and remediation once the investigation is complete.</w:t>
      </w:r>
    </w:p>
    <w:tbl>
      <w:tblPr>
        <w:tblW w:type="pct" w:w="100%"/>
        <w:tblBorders>
          <w:top w:val="single" w:color="E4C99A" w:sz="4"/>
          <w:left w:val="single" w:color="E4C99A" w:sz="4"/>
          <w:bottom w:val="single" w:color="E4C99A" w:sz="4"/>
          <w:right w:val="single" w:color="E4C99A" w:sz="4"/>
          <w:insideH w:val="single" w:color="auto" w:sz="4"/>
          <w:insideV w:val="single" w:color="auto" w:sz="4"/>
        </w:tblBorders>
      </w:tblPr>
      <w:tblGrid>
        <w:gridCol w:w="100"/>
      </w:tblGrid>
      <w:tr>
        <w:tc>
          <w:tcPr>
            <w:shd w:fill="FBF0E4" w:val="clear"/>
            <w:tcMar>
              <w:top w:type="dxa" w:w="160"/>
              <w:left w:type="dxa" w:w="200"/>
              <w:bottom w:type="dxa" w:w="160"/>
              <w:right w:type="dxa" w:w="200"/>
            </w:tcMar>
          </w:tcPr>
          <w:p>
            <w:pPr>
              <w:spacing w:line="290"/>
            </w:pPr>
            <w:r>
              <w:rPr>
                <w:i/>
                <w:iCs/>
                <w:color w:val="8A5A1E"/>
                <w:sz w:val="20"/>
                <w:szCs w:val="20"/>
              </w:rPr>
              <w:t xml:space="preserve">The specific breach-notification timeline (e.g. 72 hours from confirmation) and process should be formalized in the signed agreement with each client—this section describes PeopleBind’s intended practice, not a substitute for that contractual term.</w:t>
            </w:r>
          </w:p>
        </w:tc>
      </w:tr>
    </w:tbl>
    <w:p>
      <w:pPr>
        <w:pStyle w:val="Heading1"/>
        <w:spacing w:after="200" w:before="480"/>
      </w:pPr>
      <w:r>
        <w:t xml:space="preserve">13. Shared Responsibility</w:t>
      </w:r>
    </w:p>
    <w:p>
      <w:pPr>
        <w:spacing w:after="160" w:line="300"/>
      </w:pPr>
      <w:r>
        <w:rPr>
          <w:color w:val="1A1A1A"/>
          <w:sz w:val="21"/>
          <w:szCs w:val="21"/>
        </w:rPr>
        <w:t xml:space="preserve">Security is a shared responsibility between PeopleBind and each client:</w:t>
      </w:r>
    </w:p>
    <w:p>
      <w:pPr>
        <w:pStyle w:val="Heading2"/>
        <w:spacing w:after="140" w:before="320"/>
      </w:pPr>
      <w:r>
        <w:t xml:space="preserve">PeopleBind is responsible for:</w:t>
      </w:r>
    </w:p>
    <w:p>
      <w:pPr>
        <w:pStyle w:val="ListParagraph"/>
        <w:numPr>
          <w:ilvl w:val="0"/>
          <w:numId w:val="2"/>
        </w:numPr>
        <w:spacing w:after="90" w:line="290"/>
      </w:pPr>
      <w:r>
        <w:rPr>
          <w:color w:val="1A1A1A"/>
          <w:sz w:val="21"/>
          <w:szCs w:val="21"/>
        </w:rPr>
        <w:t xml:space="preserve">Application and database security, including the multi-tenant isolation described in Section 3</w:t>
      </w:r>
    </w:p>
    <w:p>
      <w:pPr>
        <w:pStyle w:val="ListParagraph"/>
        <w:numPr>
          <w:ilvl w:val="0"/>
          <w:numId w:val="2"/>
        </w:numPr>
        <w:spacing w:after="90" w:line="290"/>
      </w:pPr>
      <w:r>
        <w:rPr>
          <w:color w:val="1A1A1A"/>
          <w:sz w:val="21"/>
          <w:szCs w:val="21"/>
        </w:rPr>
        <w:t xml:space="preserve">Infrastructure security via its choice and configuration of Supabase</w:t>
      </w:r>
    </w:p>
    <w:p>
      <w:pPr>
        <w:pStyle w:val="ListParagraph"/>
        <w:numPr>
          <w:ilvl w:val="0"/>
          <w:numId w:val="2"/>
        </w:numPr>
        <w:spacing w:after="90" w:line="290"/>
      </w:pPr>
      <w:r>
        <w:rPr>
          <w:color w:val="1A1A1A"/>
          <w:sz w:val="21"/>
          <w:szCs w:val="21"/>
        </w:rPr>
        <w:t xml:space="preserve">Timely security patching and review of its own code and configuration</w:t>
      </w:r>
    </w:p>
    <w:p>
      <w:pPr>
        <w:pStyle w:val="Heading2"/>
        <w:spacing w:after="140" w:before="320"/>
      </w:pPr>
      <w:r>
        <w:t xml:space="preserve">The client is responsible for:</w:t>
      </w:r>
    </w:p>
    <w:p>
      <w:pPr>
        <w:pStyle w:val="ListParagraph"/>
        <w:numPr>
          <w:ilvl w:val="0"/>
          <w:numId w:val="2"/>
        </w:numPr>
        <w:spacing w:after="90" w:line="290"/>
      </w:pPr>
      <w:r>
        <w:rPr>
          <w:color w:val="1A1A1A"/>
          <w:sz w:val="21"/>
          <w:szCs w:val="21"/>
        </w:rPr>
        <w:t xml:space="preserve">Choosing strong, unique passwords for its users and not sharing login credentials</w:t>
      </w:r>
    </w:p>
    <w:p>
      <w:pPr>
        <w:pStyle w:val="ListParagraph"/>
        <w:numPr>
          <w:ilvl w:val="0"/>
          <w:numId w:val="2"/>
        </w:numPr>
        <w:spacing w:after="90" w:line="290"/>
      </w:pPr>
      <w:r>
        <w:rPr>
          <w:color w:val="1A1A1A"/>
          <w:sz w:val="21"/>
          <w:szCs w:val="21"/>
        </w:rPr>
        <w:t xml:space="preserve">Assigning roles and permissions within PeopleBind appropriately for each employee’s actual job function</w:t>
      </w:r>
    </w:p>
    <w:p>
      <w:pPr>
        <w:pStyle w:val="ListParagraph"/>
        <w:numPr>
          <w:ilvl w:val="0"/>
          <w:numId w:val="2"/>
        </w:numPr>
        <w:spacing w:after="90" w:line="290"/>
      </w:pPr>
      <w:r>
        <w:rPr>
          <w:color w:val="1A1A1A"/>
          <w:sz w:val="21"/>
          <w:szCs w:val="21"/>
        </w:rPr>
        <w:t xml:space="preserve">Promptly deactivating access for employees who leave the company</w:t>
      </w:r>
    </w:p>
    <w:p>
      <w:pPr>
        <w:pStyle w:val="ListParagraph"/>
        <w:numPr>
          <w:ilvl w:val="0"/>
          <w:numId w:val="2"/>
        </w:numPr>
        <w:spacing w:after="90" w:line="290"/>
      </w:pPr>
      <w:r>
        <w:rPr>
          <w:color w:val="1A1A1A"/>
          <w:sz w:val="21"/>
          <w:szCs w:val="21"/>
        </w:rPr>
        <w:t xml:space="preserve">Reporting any suspected security issue to PeopleBind promptly</w:t>
      </w:r>
    </w:p>
    <w:p>
      <w:pPr>
        <w:pStyle w:val="Heading1"/>
        <w:spacing w:after="200" w:before="480"/>
      </w:pPr>
      <w:r>
        <w:t xml:space="preserve">14. Compliance Posture</w:t>
      </w:r>
    </w:p>
    <w:p>
      <w:pPr>
        <w:spacing w:after="160" w:line="300"/>
      </w:pPr>
      <w:r>
        <w:rPr>
          <w:color w:val="1A1A1A"/>
          <w:sz w:val="21"/>
          <w:szCs w:val="21"/>
        </w:rPr>
        <w:t xml:space="preserve">PeopleBind is not currently independently certified under a formal framework such as SOC 2 or ISO 27001 in its own name. The practices in this document describe our current controls, which are informed by common industry frameworks (including SOC 2’s trust-services principles and general GDPR-aligned data-protection practice), but this document is not itself a certification and should not be represented as one. Clients with a formal compliance requirement (e.g. a specific framework their own regulator or customers require) should discuss it directly with PeopleBind so we can confirm whether current controls meet that specific requirement, and to scope any gap.</w:t>
      </w:r>
    </w:p>
    <w:p>
      <w:pPr>
        <w:pStyle w:val="Heading1"/>
        <w:spacing w:after="200" w:before="480"/>
      </w:pPr>
      <w:r>
        <w:t xml:space="preserve">15. Contact</w:t>
      </w:r>
    </w:p>
    <w:p>
      <w:pPr>
        <w:spacing w:after="160" w:line="300"/>
      </w:pPr>
      <w:r>
        <w:rPr>
          <w:color w:val="1A1A1A"/>
          <w:sz w:val="21"/>
          <w:szCs w:val="21"/>
        </w:rPr>
        <w:t xml:space="preserve">Questions about this document, or requests for additional detail (e.g. a completed security questionnaire, or a formal Data Processing Agreement) should be directed to PeopleBind’s founding team.</w:t>
      </w:r>
    </w:p>
    <w:p>
      <w:pPr>
        <w:spacing w:after="200"/>
      </w:pPr>
    </w:p>
    <w:tbl>
      <w:tblPr>
        <w:tblW w:type="pct" w:w="100%"/>
        <w:tblBorders>
          <w:top w:val="single" w:color="E4C99A" w:sz="4"/>
          <w:left w:val="single" w:color="E4C99A" w:sz="4"/>
          <w:bottom w:val="single" w:color="E4C99A" w:sz="4"/>
          <w:right w:val="single" w:color="E4C99A" w:sz="4"/>
          <w:insideH w:val="single" w:color="auto" w:sz="4"/>
          <w:insideV w:val="single" w:color="auto" w:sz="4"/>
        </w:tblBorders>
      </w:tblPr>
      <w:tblGrid>
        <w:gridCol w:w="100"/>
      </w:tblGrid>
      <w:tr>
        <w:tc>
          <w:tcPr>
            <w:shd w:fill="FBF0E4" w:val="clear"/>
            <w:tcMar>
              <w:top w:type="dxa" w:w="160"/>
              <w:left w:type="dxa" w:w="200"/>
              <w:bottom w:type="dxa" w:w="160"/>
              <w:right w:type="dxa" w:w="200"/>
            </w:tcMar>
          </w:tcPr>
          <w:p>
            <w:pPr>
              <w:spacing w:line="290"/>
            </w:pPr>
            <w:r>
              <w:rPr>
                <w:i/>
                <w:iCs/>
                <w:color w:val="8A5A1E"/>
                <w:sz w:val="20"/>
                <w:szCs w:val="20"/>
              </w:rPr>
              <w:t xml:space="preserve">Legal note: this document is descriptive and technical in nature. It does not constitute a Data Processing Agreement, Service Level Agreement, or other binding legal instrument, and should not be signed or referenced as the sole data-security term in a client contract. PeopleBind recommends both parties involve qualified legal counsel in finalizing the actual signed agreement.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4" w:sz="2" w:space="4"/>
      </w:pBdr>
      <w:jc w:val="right"/>
    </w:pPr>
    <w:r>
      <w:rPr>
        <w:color w:val="5A6472"/>
        <w:sz w:val="16"/>
        <w:szCs w:val="16"/>
      </w:rPr>
      <w:t xml:space="preserve">PeopleBind · Security &amp; Data Protection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63" w:sz="6" w:space="6"/>
      </w:pBdr>
      <w:spacing w:after="200" w:before="480"/>
    </w:pPr>
    <w:rPr>
      <w:rFonts w:ascii="Calibri" w:cs="Calibri" w:eastAsia="Calibri" w:hAnsi="Calibri"/>
      <w:b/>
      <w:bCs/>
      <w:color w:val="123F33"/>
      <w:sz w:val="30"/>
      <w:szCs w:val="30"/>
    </w:rPr>
  </w:style>
  <w:style w:type="paragraph" w:styleId="Heading2">
    <w:name w:val="Heading 2"/>
    <w:basedOn w:val="Normal"/>
    <w:next w:val="Normal"/>
    <w:qFormat/>
    <w:pPr>
      <w:spacing w:after="140" w:before="320"/>
    </w:pPr>
    <w:rPr>
      <w:rFonts w:ascii="Calibri" w:cs="Calibri" w:eastAsia="Calibri" w:hAnsi="Calibri"/>
      <w:b/>
      <w:bCs/>
      <w:color w:val="1F7A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2026-08-24T19:28:50.001Z</dcterms:created>
  <dcterms:modified xsi:type="dcterms:W3CDTF">2026-08-24T19:28:50.002Z</dcterms:modified>
</cp:coreProperties>
</file>

<file path=docProps/custom.xml><?xml version="1.0" encoding="utf-8"?>
<Properties xmlns="http://schemas.openxmlformats.org/officeDocument/2006/custom-properties" xmlns:vt="http://schemas.openxmlformats.org/officeDocument/2006/docPropsVTypes"/>
</file>