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8D3B" w14:textId="262DB121" w:rsidR="001E3B07" w:rsidRDefault="001E3B07" w:rsidP="001E3B07">
      <w:pPr>
        <w:pStyle w:val="Title"/>
        <w:jc w:val="center"/>
        <w:rPr>
          <w:rtl/>
        </w:rPr>
      </w:pPr>
      <w:r w:rsidRPr="001E3B07">
        <w:t>Final Analysis results</w:t>
      </w:r>
      <w:r>
        <w:rPr>
          <w:rFonts w:hint="cs"/>
          <w:rtl/>
        </w:rPr>
        <w:t xml:space="preserve"> </w:t>
      </w:r>
      <w:r w:rsidRPr="001E3B07">
        <w:t>Document</w:t>
      </w:r>
    </w:p>
    <w:p w14:paraId="0FEB3D47" w14:textId="77777777" w:rsidR="001E3B07" w:rsidRPr="001E3B07" w:rsidRDefault="001E3B07" w:rsidP="001E3B07"/>
    <w:p w14:paraId="17120DCB" w14:textId="44E102B7" w:rsidR="001E3B07" w:rsidRPr="001E3B07" w:rsidRDefault="001E3B07" w:rsidP="001E3B07">
      <w:pPr>
        <w:rPr>
          <w:b/>
          <w:bCs/>
        </w:rPr>
      </w:pPr>
      <w:proofErr w:type="gramStart"/>
      <w:r w:rsidRPr="001E3B07">
        <w:rPr>
          <w:rStyle w:val="Heading1Char"/>
        </w:rPr>
        <w:t>Employees</w:t>
      </w:r>
      <w:proofErr w:type="gramEnd"/>
      <w:r w:rsidRPr="001E3B07">
        <w:rPr>
          <w:rStyle w:val="Heading1Char"/>
        </w:rPr>
        <w:t xml:space="preserve"> Insights</w:t>
      </w:r>
    </w:p>
    <w:p w14:paraId="2AA7D3E1" w14:textId="77777777" w:rsidR="001E3B07" w:rsidRPr="001E3B07" w:rsidRDefault="001E3B07" w:rsidP="001E3B07">
      <w:pPr>
        <w:numPr>
          <w:ilvl w:val="0"/>
          <w:numId w:val="1"/>
        </w:numPr>
      </w:pPr>
      <w:r w:rsidRPr="001E3B07">
        <w:t xml:space="preserve">Archer Lamble significantly outperforms all other employees, achieving more than double the </w:t>
      </w:r>
      <w:r w:rsidRPr="001E3B07">
        <w:rPr>
          <w:b/>
          <w:bCs/>
        </w:rPr>
        <w:t>profit</w:t>
      </w:r>
      <w:r w:rsidRPr="001E3B07">
        <w:t xml:space="preserve">, </w:t>
      </w:r>
      <w:r w:rsidRPr="001E3B07">
        <w:rPr>
          <w:b/>
          <w:bCs/>
        </w:rPr>
        <w:t>revenue</w:t>
      </w:r>
      <w:r w:rsidRPr="001E3B07">
        <w:t xml:space="preserve">, and </w:t>
      </w:r>
      <w:r w:rsidRPr="001E3B07">
        <w:rPr>
          <w:b/>
          <w:bCs/>
        </w:rPr>
        <w:t>units sold</w:t>
      </w:r>
      <w:r w:rsidRPr="001E3B07">
        <w:t xml:space="preserve"> of the </w:t>
      </w:r>
      <w:proofErr w:type="gramStart"/>
      <w:r w:rsidRPr="001E3B07">
        <w:t>second best</w:t>
      </w:r>
      <w:proofErr w:type="gramEnd"/>
      <w:r w:rsidRPr="001E3B07">
        <w:t xml:space="preserve"> performer. </w:t>
      </w:r>
    </w:p>
    <w:p w14:paraId="03781BE2" w14:textId="77777777" w:rsidR="001E3B07" w:rsidRPr="001E3B07" w:rsidRDefault="001E3B07" w:rsidP="001E3B07">
      <w:pPr>
        <w:numPr>
          <w:ilvl w:val="0"/>
          <w:numId w:val="1"/>
        </w:numPr>
      </w:pPr>
      <w:r w:rsidRPr="001E3B07">
        <w:t xml:space="preserve">15 employees make up </w:t>
      </w:r>
      <w:r w:rsidRPr="001E3B07">
        <w:rPr>
          <w:b/>
          <w:bCs/>
        </w:rPr>
        <w:t>50%</w:t>
      </w:r>
      <w:r w:rsidRPr="001E3B07">
        <w:t xml:space="preserve"> of profits and Archer Lamble alone accounts for </w:t>
      </w:r>
      <w:r w:rsidRPr="001E3B07">
        <w:rPr>
          <w:b/>
          <w:bCs/>
        </w:rPr>
        <w:t>10%</w:t>
      </w:r>
      <w:r w:rsidRPr="001E3B07">
        <w:t xml:space="preserve"> percent of the total profit </w:t>
      </w:r>
    </w:p>
    <w:p w14:paraId="31D268F8" w14:textId="77777777" w:rsidR="001E3B07" w:rsidRPr="001E3B07" w:rsidRDefault="001E3B07" w:rsidP="001E3B07">
      <w:pPr>
        <w:numPr>
          <w:ilvl w:val="0"/>
          <w:numId w:val="1"/>
        </w:numPr>
      </w:pPr>
      <w:r w:rsidRPr="001E3B07">
        <w:t xml:space="preserve">There is a strong concentration of performance among top employees, indicating possible performance imbalance. </w:t>
      </w:r>
    </w:p>
    <w:p w14:paraId="7011D0F3" w14:textId="77777777" w:rsidR="001E3B07" w:rsidRPr="001E3B07" w:rsidRDefault="001E3B07" w:rsidP="001E3B07">
      <w:pPr>
        <w:pStyle w:val="Heading1"/>
      </w:pPr>
      <w:r w:rsidRPr="001E3B07">
        <w:t>Customer Insights</w:t>
      </w:r>
    </w:p>
    <w:p w14:paraId="7689F8D4" w14:textId="77777777" w:rsidR="001E3B07" w:rsidRPr="001E3B07" w:rsidRDefault="001E3B07" w:rsidP="001E3B07">
      <w:pPr>
        <w:numPr>
          <w:ilvl w:val="0"/>
          <w:numId w:val="2"/>
        </w:numPr>
      </w:pPr>
      <w:r w:rsidRPr="001E3B07">
        <w:t xml:space="preserve">There are </w:t>
      </w:r>
      <w:r w:rsidRPr="001E3B07">
        <w:rPr>
          <w:b/>
          <w:bCs/>
        </w:rPr>
        <w:t>49</w:t>
      </w:r>
      <w:r w:rsidRPr="001E3B07">
        <w:t xml:space="preserve"> customers in total. </w:t>
      </w:r>
    </w:p>
    <w:p w14:paraId="261BD547" w14:textId="77777777" w:rsidR="001E3B07" w:rsidRPr="001E3B07" w:rsidRDefault="001E3B07" w:rsidP="001E3B07">
      <w:pPr>
        <w:numPr>
          <w:ilvl w:val="0"/>
          <w:numId w:val="2"/>
        </w:numPr>
      </w:pPr>
      <w:r w:rsidRPr="001E3B07">
        <w:t xml:space="preserve">Profit distribution is relatively consistent across </w:t>
      </w:r>
      <w:r w:rsidRPr="001E3B07">
        <w:rPr>
          <w:b/>
          <w:bCs/>
        </w:rPr>
        <w:t>identified</w:t>
      </w:r>
      <w:r w:rsidRPr="001E3B07">
        <w:t xml:space="preserve"> customers, with no single dominant client. </w:t>
      </w:r>
    </w:p>
    <w:p w14:paraId="14D1CCCD" w14:textId="77777777" w:rsidR="001E3B07" w:rsidRPr="001E3B07" w:rsidRDefault="001E3B07" w:rsidP="001E3B07">
      <w:pPr>
        <w:numPr>
          <w:ilvl w:val="0"/>
          <w:numId w:val="2"/>
        </w:numPr>
      </w:pPr>
      <w:r w:rsidRPr="001E3B07">
        <w:t xml:space="preserve">However, the "Unknown" customer is a major outlier, contributing approximately </w:t>
      </w:r>
      <w:r w:rsidRPr="001E3B07">
        <w:rPr>
          <w:b/>
          <w:bCs/>
        </w:rPr>
        <w:t>34.5%</w:t>
      </w:r>
      <w:r w:rsidRPr="001E3B07">
        <w:t xml:space="preserve"> of total profit. </w:t>
      </w:r>
    </w:p>
    <w:p w14:paraId="4FAA9D4D" w14:textId="77777777" w:rsidR="001E3B07" w:rsidRPr="001E3B07" w:rsidRDefault="001E3B07" w:rsidP="001E3B07">
      <w:pPr>
        <w:numPr>
          <w:ilvl w:val="0"/>
          <w:numId w:val="2"/>
        </w:numPr>
      </w:pPr>
      <w:r w:rsidRPr="001E3B07">
        <w:t xml:space="preserve">The "Unknown" customer alone generates more than half the profit </w:t>
      </w:r>
      <w:r w:rsidRPr="001E3B07">
        <w:rPr>
          <w:b/>
          <w:bCs/>
        </w:rPr>
        <w:t>($3,428,607)</w:t>
      </w:r>
      <w:r w:rsidRPr="001E3B07">
        <w:t xml:space="preserve"> of all other customers combined </w:t>
      </w:r>
      <w:r w:rsidRPr="001E3B07">
        <w:rPr>
          <w:b/>
          <w:bCs/>
        </w:rPr>
        <w:t>($6,495,285)</w:t>
      </w:r>
      <w:r w:rsidRPr="001E3B07">
        <w:t xml:space="preserve">, highlighting a significant gap in customer tracking and data quality. </w:t>
      </w:r>
    </w:p>
    <w:p w14:paraId="5F618217" w14:textId="77777777" w:rsidR="001E3B07" w:rsidRPr="001E3B07" w:rsidRDefault="001E3B07" w:rsidP="001E3B07">
      <w:pPr>
        <w:pStyle w:val="Heading1"/>
      </w:pPr>
      <w:r w:rsidRPr="001E3B07">
        <w:t>Buying Group Insights</w:t>
      </w:r>
    </w:p>
    <w:p w14:paraId="3AC89482" w14:textId="77777777" w:rsidR="001E3B07" w:rsidRPr="001E3B07" w:rsidRDefault="001E3B07" w:rsidP="001E3B07">
      <w:pPr>
        <w:numPr>
          <w:ilvl w:val="0"/>
          <w:numId w:val="3"/>
        </w:numPr>
      </w:pPr>
      <w:r w:rsidRPr="001E3B07">
        <w:t xml:space="preserve">The business is highly concentrated around two major buying groups. </w:t>
      </w:r>
    </w:p>
    <w:p w14:paraId="3BF60523" w14:textId="77777777" w:rsidR="001E3B07" w:rsidRPr="001E3B07" w:rsidRDefault="001E3B07" w:rsidP="001E3B07">
      <w:pPr>
        <w:numPr>
          <w:ilvl w:val="0"/>
          <w:numId w:val="3"/>
        </w:numPr>
      </w:pPr>
      <w:r w:rsidRPr="001E3B07">
        <w:t xml:space="preserve">All sales are concentrated in a single category: "Novelty Shop". </w:t>
      </w:r>
    </w:p>
    <w:p w14:paraId="682FD53F" w14:textId="77777777" w:rsidR="001E3B07" w:rsidRPr="001E3B07" w:rsidRDefault="001E3B07" w:rsidP="001E3B07">
      <w:pPr>
        <w:numPr>
          <w:ilvl w:val="0"/>
          <w:numId w:val="3"/>
        </w:numPr>
      </w:pPr>
      <w:r w:rsidRPr="001E3B07">
        <w:t xml:space="preserve">Tailspin Toys </w:t>
      </w:r>
      <w:proofErr w:type="gramStart"/>
      <w:r w:rsidRPr="001E3B07">
        <w:t>sells</w:t>
      </w:r>
      <w:proofErr w:type="gramEnd"/>
      <w:r w:rsidRPr="001E3B07">
        <w:t xml:space="preserve"> more units than Wingtip Toys, but Wingtip Toys are more effective and profitable. </w:t>
      </w:r>
    </w:p>
    <w:p w14:paraId="0E14C14F" w14:textId="77777777" w:rsidR="001E3B07" w:rsidRPr="001E3B07" w:rsidRDefault="001E3B07" w:rsidP="001E3B07">
      <w:pPr>
        <w:numPr>
          <w:ilvl w:val="0"/>
          <w:numId w:val="3"/>
        </w:numPr>
      </w:pPr>
      <w:r w:rsidRPr="001E3B07">
        <w:t xml:space="preserve">Tailspin Toys operates as a high-volume driver, while Wingtip Toys </w:t>
      </w:r>
      <w:proofErr w:type="gramStart"/>
      <w:r w:rsidRPr="001E3B07">
        <w:t>delivers</w:t>
      </w:r>
      <w:proofErr w:type="gramEnd"/>
      <w:r w:rsidRPr="001E3B07">
        <w:t xml:space="preserve"> slightly better profit efficiency. </w:t>
      </w:r>
    </w:p>
    <w:p w14:paraId="4D48AAFF" w14:textId="77777777" w:rsidR="001E3B07" w:rsidRPr="001E3B07" w:rsidRDefault="001E3B07" w:rsidP="001E3B07">
      <w:pPr>
        <w:pStyle w:val="Heading1"/>
      </w:pPr>
      <w:r w:rsidRPr="001E3B07">
        <w:lastRenderedPageBreak/>
        <w:t>State Insights</w:t>
      </w:r>
    </w:p>
    <w:p w14:paraId="77D4D46C" w14:textId="77777777" w:rsidR="001E3B07" w:rsidRPr="001E3B07" w:rsidRDefault="001E3B07" w:rsidP="001E3B07">
      <w:pPr>
        <w:numPr>
          <w:ilvl w:val="0"/>
          <w:numId w:val="4"/>
        </w:numPr>
      </w:pPr>
      <w:r w:rsidRPr="001E3B07">
        <w:t xml:space="preserve">The market is concentrated in 6 states (California, Washington, Alaska, Oregon, Nevada, Hawaii) </w:t>
      </w:r>
    </w:p>
    <w:p w14:paraId="3AE620A1" w14:textId="77777777" w:rsidR="001E3B07" w:rsidRPr="001E3B07" w:rsidRDefault="001E3B07" w:rsidP="001E3B07">
      <w:pPr>
        <w:numPr>
          <w:ilvl w:val="0"/>
          <w:numId w:val="4"/>
        </w:numPr>
      </w:pPr>
      <w:r w:rsidRPr="001E3B07">
        <w:t xml:space="preserve">California is the dominant state, contributing approximately </w:t>
      </w:r>
      <w:r w:rsidRPr="001E3B07">
        <w:rPr>
          <w:b/>
          <w:bCs/>
        </w:rPr>
        <w:t>44.7%</w:t>
      </w:r>
      <w:r w:rsidRPr="001E3B07">
        <w:t xml:space="preserve"> of total profit, making it the primary revenue and profit driver. </w:t>
      </w:r>
    </w:p>
    <w:p w14:paraId="297EA1D2" w14:textId="77777777" w:rsidR="001E3B07" w:rsidRPr="001E3B07" w:rsidRDefault="001E3B07" w:rsidP="001E3B07">
      <w:pPr>
        <w:numPr>
          <w:ilvl w:val="0"/>
          <w:numId w:val="4"/>
        </w:numPr>
      </w:pPr>
      <w:r w:rsidRPr="001E3B07">
        <w:t xml:space="preserve">The top 3 states (California, Washington, Alaska) account for the majority of total profit </w:t>
      </w:r>
      <w:r w:rsidRPr="001E3B07">
        <w:rPr>
          <w:b/>
          <w:bCs/>
        </w:rPr>
        <w:t>(%81)</w:t>
      </w:r>
      <w:r w:rsidRPr="001E3B07">
        <w:t xml:space="preserve">, indicating strong geographic concentration. </w:t>
      </w:r>
    </w:p>
    <w:p w14:paraId="7A12CD40" w14:textId="77777777" w:rsidR="001E3B07" w:rsidRPr="001E3B07" w:rsidRDefault="001E3B07" w:rsidP="001E3B07">
      <w:pPr>
        <w:pStyle w:val="Heading1"/>
      </w:pPr>
      <w:r w:rsidRPr="001E3B07">
        <w:t>City Insights</w:t>
      </w:r>
    </w:p>
    <w:p w14:paraId="3E5919E5" w14:textId="77777777" w:rsidR="001E3B07" w:rsidRPr="001E3B07" w:rsidRDefault="001E3B07" w:rsidP="001E3B07">
      <w:pPr>
        <w:numPr>
          <w:ilvl w:val="0"/>
          <w:numId w:val="5"/>
        </w:numPr>
      </w:pPr>
      <w:proofErr w:type="gramStart"/>
      <w:r w:rsidRPr="001E3B07">
        <w:t>City-level</w:t>
      </w:r>
      <w:proofErr w:type="gramEnd"/>
      <w:r w:rsidRPr="001E3B07">
        <w:t xml:space="preserve"> performance is relatively well distributed, with no single city dominating overall sales or profit. </w:t>
      </w:r>
    </w:p>
    <w:p w14:paraId="7B433397" w14:textId="77777777" w:rsidR="001E3B07" w:rsidRPr="001E3B07" w:rsidRDefault="001E3B07" w:rsidP="001E3B07">
      <w:pPr>
        <w:numPr>
          <w:ilvl w:val="0"/>
          <w:numId w:val="5"/>
        </w:numPr>
      </w:pPr>
      <w:r w:rsidRPr="001E3B07">
        <w:t xml:space="preserve">Profit and revenue are closely distributed among top cities, suggesting operational diversification across multiple locations. </w:t>
      </w:r>
    </w:p>
    <w:p w14:paraId="5C1F1A0B" w14:textId="77777777" w:rsidR="001E3B07" w:rsidRPr="001E3B07" w:rsidRDefault="001E3B07" w:rsidP="001E3B07">
      <w:pPr>
        <w:numPr>
          <w:ilvl w:val="0"/>
          <w:numId w:val="5"/>
        </w:numPr>
      </w:pPr>
      <w:r w:rsidRPr="001E3B07">
        <w:t xml:space="preserve">There is a noticeable gap between top and bottom cities, with some locations contributing minimally to total performance. </w:t>
      </w:r>
    </w:p>
    <w:p w14:paraId="3037114E" w14:textId="77777777" w:rsidR="001E3B07" w:rsidRPr="001E3B07" w:rsidRDefault="001E3B07" w:rsidP="001E3B07">
      <w:pPr>
        <w:numPr>
          <w:ilvl w:val="0"/>
          <w:numId w:val="5"/>
        </w:numPr>
      </w:pPr>
      <w:r w:rsidRPr="001E3B07">
        <w:t xml:space="preserve">Lower-performing cities may indicate areas with low demand or limited market penetration. </w:t>
      </w:r>
    </w:p>
    <w:p w14:paraId="4B9FBA19" w14:textId="77777777" w:rsidR="001E3B07" w:rsidRPr="001E3B07" w:rsidRDefault="001E3B07" w:rsidP="001E3B07">
      <w:pPr>
        <w:numPr>
          <w:ilvl w:val="0"/>
          <w:numId w:val="5"/>
        </w:numPr>
      </w:pPr>
      <w:r w:rsidRPr="001E3B07">
        <w:t xml:space="preserve">While performance is concentrated at the state level, it is diversified across cities within those states, reducing localized operational risk. </w:t>
      </w:r>
    </w:p>
    <w:p w14:paraId="49B325FA" w14:textId="77777777" w:rsidR="001E3B07" w:rsidRPr="001E3B07" w:rsidRDefault="001E3B07" w:rsidP="001E3B07">
      <w:pPr>
        <w:pStyle w:val="Heading1"/>
      </w:pPr>
      <w:r w:rsidRPr="001E3B07">
        <w:t>Product Insights</w:t>
      </w:r>
    </w:p>
    <w:p w14:paraId="78C4B9F0" w14:textId="77777777" w:rsidR="001E3B07" w:rsidRPr="001E3B07" w:rsidRDefault="001E3B07" w:rsidP="001E3B07">
      <w:pPr>
        <w:numPr>
          <w:ilvl w:val="0"/>
          <w:numId w:val="6"/>
        </w:numPr>
      </w:pPr>
      <w:r w:rsidRPr="001E3B07">
        <w:t xml:space="preserve">The 20mm thick, 50m long double-sided bubble wrap achieves the highest profit and profit margin compared to all other products. </w:t>
      </w:r>
    </w:p>
    <w:p w14:paraId="2E1E2F63" w14:textId="77777777" w:rsidR="001E3B07" w:rsidRPr="001E3B07" w:rsidRDefault="001E3B07" w:rsidP="001E3B07">
      <w:pPr>
        <w:numPr>
          <w:ilvl w:val="0"/>
          <w:numId w:val="6"/>
        </w:numPr>
      </w:pPr>
      <w:r w:rsidRPr="001E3B07">
        <w:t xml:space="preserve">Profit distribution across products is moderately concentrated, as the top </w:t>
      </w:r>
      <w:r w:rsidRPr="001E3B07">
        <w:rPr>
          <w:b/>
          <w:bCs/>
        </w:rPr>
        <w:t>24</w:t>
      </w:r>
      <w:r w:rsidRPr="001E3B07">
        <w:t xml:space="preserve"> products contribute only around </w:t>
      </w:r>
      <w:r w:rsidRPr="001E3B07">
        <w:rPr>
          <w:b/>
          <w:bCs/>
        </w:rPr>
        <w:t>50%</w:t>
      </w:r>
      <w:r w:rsidRPr="001E3B07">
        <w:t xml:space="preserve"> of total profit. </w:t>
      </w:r>
    </w:p>
    <w:p w14:paraId="570CC4E7" w14:textId="77777777" w:rsidR="001E3B07" w:rsidRPr="001E3B07" w:rsidRDefault="001E3B07" w:rsidP="001E3B07">
      <w:pPr>
        <w:numPr>
          <w:ilvl w:val="0"/>
          <w:numId w:val="6"/>
        </w:numPr>
      </w:pPr>
      <w:r w:rsidRPr="001E3B07">
        <w:t xml:space="preserve">Profit margins across most products are relatively consistent, typically ranging between </w:t>
      </w:r>
      <w:r w:rsidRPr="001E3B07">
        <w:rPr>
          <w:b/>
          <w:bCs/>
        </w:rPr>
        <w:t>40%</w:t>
      </w:r>
      <w:r w:rsidRPr="001E3B07">
        <w:t xml:space="preserve"> and </w:t>
      </w:r>
      <w:r w:rsidRPr="001E3B07">
        <w:rPr>
          <w:b/>
          <w:bCs/>
        </w:rPr>
        <w:t>65%</w:t>
      </w:r>
      <w:r w:rsidRPr="001E3B07">
        <w:t xml:space="preserve">, indicating a stable and standardized pricing structure. </w:t>
      </w:r>
    </w:p>
    <w:p w14:paraId="1FEAA6E4" w14:textId="77777777" w:rsidR="001E3B07" w:rsidRPr="001E3B07" w:rsidRDefault="001E3B07" w:rsidP="001E3B07">
      <w:pPr>
        <w:pStyle w:val="Heading1"/>
      </w:pPr>
      <w:r w:rsidRPr="001E3B07">
        <w:lastRenderedPageBreak/>
        <w:t>Seasonality</w:t>
      </w:r>
    </w:p>
    <w:p w14:paraId="08112B8F" w14:textId="77777777" w:rsidR="001E3B07" w:rsidRPr="001E3B07" w:rsidRDefault="001E3B07" w:rsidP="001E3B07">
      <w:pPr>
        <w:numPr>
          <w:ilvl w:val="0"/>
          <w:numId w:val="7"/>
        </w:numPr>
      </w:pPr>
      <w:r w:rsidRPr="001E3B07">
        <w:t>2016 data is incomplete (only Jan–May), so it must be excluded from yearly comparisons</w:t>
      </w:r>
      <w:r w:rsidRPr="001E3B07">
        <w:br/>
        <w:t xml:space="preserve">Any analysis including 2016 yearly totals will lead to misleading conclusions </w:t>
      </w:r>
    </w:p>
    <w:p w14:paraId="15C0BF4E" w14:textId="77777777" w:rsidR="001E3B07" w:rsidRPr="001E3B07" w:rsidRDefault="001E3B07" w:rsidP="001E3B07">
      <w:pPr>
        <w:rPr>
          <w:b/>
          <w:bCs/>
        </w:rPr>
      </w:pPr>
      <w:r w:rsidRPr="001E3B07">
        <w:rPr>
          <w:b/>
          <w:bCs/>
        </w:rPr>
        <w:t>Yearly Trend</w:t>
      </w:r>
    </w:p>
    <w:p w14:paraId="1E77C936" w14:textId="77777777" w:rsidR="001E3B07" w:rsidRPr="001E3B07" w:rsidRDefault="001E3B07" w:rsidP="001E3B07">
      <w:pPr>
        <w:numPr>
          <w:ilvl w:val="0"/>
          <w:numId w:val="8"/>
        </w:numPr>
      </w:pPr>
      <w:r w:rsidRPr="001E3B07">
        <w:t xml:space="preserve">There is consistent growth from 2013 to 2015 (~10% annually) </w:t>
      </w:r>
    </w:p>
    <w:p w14:paraId="746EE718" w14:textId="77777777" w:rsidR="001E3B07" w:rsidRPr="001E3B07" w:rsidRDefault="001E3B07" w:rsidP="001E3B07">
      <w:pPr>
        <w:numPr>
          <w:ilvl w:val="0"/>
          <w:numId w:val="8"/>
        </w:numPr>
      </w:pPr>
      <w:r w:rsidRPr="001E3B07">
        <w:t xml:space="preserve">2015 is the best-performing year in terms of revenue and profit </w:t>
      </w:r>
    </w:p>
    <w:p w14:paraId="5DA472B0" w14:textId="77777777" w:rsidR="001E3B07" w:rsidRPr="001E3B07" w:rsidRDefault="001E3B07" w:rsidP="001E3B07">
      <w:pPr>
        <w:numPr>
          <w:ilvl w:val="0"/>
          <w:numId w:val="8"/>
        </w:numPr>
      </w:pPr>
      <w:r w:rsidRPr="001E3B07">
        <w:t xml:space="preserve">The growth pattern is stable and organic, not driven by anomalies </w:t>
      </w:r>
    </w:p>
    <w:p w14:paraId="08D0A43B" w14:textId="77777777" w:rsidR="001E3B07" w:rsidRPr="001E3B07" w:rsidRDefault="001E3B07" w:rsidP="001E3B07">
      <w:pPr>
        <w:rPr>
          <w:b/>
          <w:bCs/>
        </w:rPr>
      </w:pPr>
      <w:r w:rsidRPr="001E3B07">
        <w:rPr>
          <w:b/>
          <w:bCs/>
        </w:rPr>
        <w:t>Seasonality (Core Insight)</w:t>
      </w:r>
    </w:p>
    <w:p w14:paraId="47391A30" w14:textId="77777777" w:rsidR="001E3B07" w:rsidRPr="001E3B07" w:rsidRDefault="001E3B07" w:rsidP="001E3B07">
      <w:pPr>
        <w:numPr>
          <w:ilvl w:val="0"/>
          <w:numId w:val="9"/>
        </w:numPr>
      </w:pPr>
      <w:r w:rsidRPr="001E3B07">
        <w:t xml:space="preserve">A strong and consistent seasonal pattern exists across years </w:t>
      </w:r>
    </w:p>
    <w:p w14:paraId="74AE8A76" w14:textId="77777777" w:rsidR="001E3B07" w:rsidRPr="001E3B07" w:rsidRDefault="001E3B07" w:rsidP="001E3B07">
      <w:pPr>
        <w:numPr>
          <w:ilvl w:val="0"/>
          <w:numId w:val="9"/>
        </w:numPr>
      </w:pPr>
      <w:r w:rsidRPr="001E3B07">
        <w:t xml:space="preserve">The period from March to May (Q2) is the peak season </w:t>
      </w:r>
    </w:p>
    <w:p w14:paraId="6702C7B4" w14:textId="77777777" w:rsidR="001E3B07" w:rsidRPr="001E3B07" w:rsidRDefault="001E3B07" w:rsidP="001E3B07">
      <w:pPr>
        <w:numPr>
          <w:ilvl w:val="0"/>
          <w:numId w:val="9"/>
        </w:numPr>
      </w:pPr>
      <w:r w:rsidRPr="001E3B07">
        <w:t xml:space="preserve">This period consistently generates the highest revenue and profit </w:t>
      </w:r>
    </w:p>
    <w:p w14:paraId="70B42186" w14:textId="77777777" w:rsidR="001E3B07" w:rsidRPr="001E3B07" w:rsidRDefault="001E3B07" w:rsidP="001E3B07">
      <w:pPr>
        <w:rPr>
          <w:b/>
          <w:bCs/>
        </w:rPr>
      </w:pPr>
      <w:r w:rsidRPr="001E3B07">
        <w:rPr>
          <w:b/>
          <w:bCs/>
        </w:rPr>
        <w:t>Low Season</w:t>
      </w:r>
    </w:p>
    <w:p w14:paraId="4977096A" w14:textId="77777777" w:rsidR="001E3B07" w:rsidRPr="001E3B07" w:rsidRDefault="001E3B07" w:rsidP="001E3B07">
      <w:pPr>
        <w:numPr>
          <w:ilvl w:val="0"/>
          <w:numId w:val="10"/>
        </w:numPr>
      </w:pPr>
      <w:r w:rsidRPr="001E3B07">
        <w:t xml:space="preserve">June to August is the weakest period (low season) </w:t>
      </w:r>
    </w:p>
    <w:p w14:paraId="76B10B89" w14:textId="77777777" w:rsidR="001E3B07" w:rsidRPr="001E3B07" w:rsidRDefault="001E3B07" w:rsidP="001E3B07">
      <w:pPr>
        <w:numPr>
          <w:ilvl w:val="0"/>
          <w:numId w:val="10"/>
        </w:numPr>
      </w:pPr>
      <w:r w:rsidRPr="001E3B07">
        <w:t xml:space="preserve">August is consistently the lowest-performing month </w:t>
      </w:r>
    </w:p>
    <w:p w14:paraId="0114736B" w14:textId="77777777" w:rsidR="001E3B07" w:rsidRPr="001E3B07" w:rsidRDefault="001E3B07" w:rsidP="001E3B07">
      <w:pPr>
        <w:numPr>
          <w:ilvl w:val="0"/>
          <w:numId w:val="10"/>
        </w:numPr>
      </w:pPr>
      <w:r w:rsidRPr="001E3B07">
        <w:t xml:space="preserve">There is a clear drop immediately after the peak season </w:t>
      </w:r>
    </w:p>
    <w:p w14:paraId="089C9209" w14:textId="77777777" w:rsidR="001E3B07" w:rsidRPr="001E3B07" w:rsidRDefault="001E3B07" w:rsidP="001E3B07">
      <w:pPr>
        <w:rPr>
          <w:b/>
          <w:bCs/>
        </w:rPr>
      </w:pPr>
      <w:r w:rsidRPr="001E3B07">
        <w:rPr>
          <w:b/>
          <w:bCs/>
        </w:rPr>
        <w:t>Seasonal Structure</w:t>
      </w:r>
    </w:p>
    <w:p w14:paraId="799B25A7" w14:textId="77777777" w:rsidR="001E3B07" w:rsidRPr="001E3B07" w:rsidRDefault="001E3B07" w:rsidP="001E3B07">
      <w:pPr>
        <w:numPr>
          <w:ilvl w:val="0"/>
          <w:numId w:val="11"/>
        </w:numPr>
      </w:pPr>
      <w:r w:rsidRPr="001E3B07">
        <w:t xml:space="preserve">January–February: moderate to low performance </w:t>
      </w:r>
    </w:p>
    <w:p w14:paraId="500080D3" w14:textId="77777777" w:rsidR="001E3B07" w:rsidRPr="001E3B07" w:rsidRDefault="001E3B07" w:rsidP="001E3B07">
      <w:pPr>
        <w:numPr>
          <w:ilvl w:val="0"/>
          <w:numId w:val="11"/>
        </w:numPr>
      </w:pPr>
      <w:r w:rsidRPr="001E3B07">
        <w:t xml:space="preserve">March–May: strong upward trend (peak) </w:t>
      </w:r>
    </w:p>
    <w:p w14:paraId="3E5AF858" w14:textId="77777777" w:rsidR="001E3B07" w:rsidRPr="001E3B07" w:rsidRDefault="001E3B07" w:rsidP="001E3B07">
      <w:pPr>
        <w:numPr>
          <w:ilvl w:val="0"/>
          <w:numId w:val="11"/>
        </w:numPr>
      </w:pPr>
      <w:r w:rsidRPr="001E3B07">
        <w:t xml:space="preserve">June–August: significant decline </w:t>
      </w:r>
    </w:p>
    <w:p w14:paraId="42F60BB4" w14:textId="77777777" w:rsidR="001E3B07" w:rsidRPr="001E3B07" w:rsidRDefault="001E3B07" w:rsidP="001E3B07">
      <w:pPr>
        <w:numPr>
          <w:ilvl w:val="0"/>
          <w:numId w:val="11"/>
        </w:numPr>
      </w:pPr>
      <w:r w:rsidRPr="001E3B07">
        <w:t>September–December: gradual recovery</w:t>
      </w:r>
    </w:p>
    <w:p w14:paraId="26BFDEE5" w14:textId="77777777" w:rsidR="001E3B07" w:rsidRDefault="001E3B07"/>
    <w:sectPr w:rsidR="001E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02B"/>
    <w:multiLevelType w:val="multilevel"/>
    <w:tmpl w:val="384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3365D"/>
    <w:multiLevelType w:val="multilevel"/>
    <w:tmpl w:val="897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69FF"/>
    <w:multiLevelType w:val="multilevel"/>
    <w:tmpl w:val="6B3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4664A"/>
    <w:multiLevelType w:val="multilevel"/>
    <w:tmpl w:val="069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E474F"/>
    <w:multiLevelType w:val="multilevel"/>
    <w:tmpl w:val="C32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7AF7"/>
    <w:multiLevelType w:val="multilevel"/>
    <w:tmpl w:val="376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2109B"/>
    <w:multiLevelType w:val="multilevel"/>
    <w:tmpl w:val="8A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C0B53"/>
    <w:multiLevelType w:val="multilevel"/>
    <w:tmpl w:val="58A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537E3"/>
    <w:multiLevelType w:val="multilevel"/>
    <w:tmpl w:val="797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F6526"/>
    <w:multiLevelType w:val="multilevel"/>
    <w:tmpl w:val="388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D0367"/>
    <w:multiLevelType w:val="multilevel"/>
    <w:tmpl w:val="583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13742">
    <w:abstractNumId w:val="5"/>
  </w:num>
  <w:num w:numId="2" w16cid:durableId="870610460">
    <w:abstractNumId w:val="10"/>
  </w:num>
  <w:num w:numId="3" w16cid:durableId="1173913289">
    <w:abstractNumId w:val="8"/>
  </w:num>
  <w:num w:numId="4" w16cid:durableId="1388331962">
    <w:abstractNumId w:val="3"/>
  </w:num>
  <w:num w:numId="5" w16cid:durableId="1003901201">
    <w:abstractNumId w:val="9"/>
  </w:num>
  <w:num w:numId="6" w16cid:durableId="1120026548">
    <w:abstractNumId w:val="7"/>
  </w:num>
  <w:num w:numId="7" w16cid:durableId="435908069">
    <w:abstractNumId w:val="2"/>
  </w:num>
  <w:num w:numId="8" w16cid:durableId="183903501">
    <w:abstractNumId w:val="6"/>
  </w:num>
  <w:num w:numId="9" w16cid:durableId="829296851">
    <w:abstractNumId w:val="1"/>
  </w:num>
  <w:num w:numId="10" w16cid:durableId="1877111175">
    <w:abstractNumId w:val="4"/>
  </w:num>
  <w:num w:numId="11" w16cid:durableId="105488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07"/>
    <w:rsid w:val="001E3B07"/>
    <w:rsid w:val="00F6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B872"/>
  <w15:chartTrackingRefBased/>
  <w15:docId w15:val="{7AF969D8-2A34-426A-9C32-D524E9ED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زيد نصرى احمد شتات</dc:creator>
  <cp:keywords/>
  <dc:description/>
  <cp:lastModifiedBy>زيد نصرى احمد شتات</cp:lastModifiedBy>
  <cp:revision>1</cp:revision>
  <dcterms:created xsi:type="dcterms:W3CDTF">2026-03-23T15:34:00Z</dcterms:created>
  <dcterms:modified xsi:type="dcterms:W3CDTF">2026-03-23T15:38:00Z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2026-03-23T15:38:37Z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6c6c9749-9e37-4b59-a2f2-6a50fcfa06b0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