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A Locally Run Semantic File Manager with a Knowledge Graph, Conversational Memory and a Checkable Privacy Audit</w:t>
      </w:r>
    </w:p>
    <w:p>
      <w:pPr>
        <w:spacing w:after="140"/>
        <w:jc w:val="center"/>
      </w:pPr>
      <w:r>
        <w:rPr>
          <w:rFonts w:ascii="Times New Roman" w:cs="Times New Roman" w:eastAsia="Times New Roman" w:hAnsi="Times New Roman"/>
          <w:i/>
          <w:iCs/>
          <w:sz w:val="20"/>
          <w:szCs w:val="20"/>
        </w:rPr>
        <w:t xml:space="preserve">Anonymous submission for double-blind review</w:t>
      </w:r>
    </w:p>
    <w:p>
      <w:pPr>
        <w:sectPr>
          <w:footerReference w:type="default" r:id="rId7"/>
          <w:type w:val="continuous"/>
          <w:pgSz w:w="12240" w:h="15840" w:orient="portrait"/>
          <w:pgMar w:top="1000" w:right="1000" w:bottom="1000" w:left="10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We present DreamOS, a locally run desktop file manager that finds, opens, relates and organises files from natural-language requests using only a local embedding model and a local 3B-parameter language model. Six modules cooperate: intent routing, semantic search, a reversible organiser, a knowledge graph, a context-memory engine and a workspace manager, and a privacy audit reports from live configuration which endpoints the system can reach. On 36 labelled queries over a 37-file vault, DreamOS ranks the intended file first for 94% of queries (MRR 0.97), against 56% (MRR 0.61) for a BM25 content index and 33% for filename matching; on the 10 queries that share no word with their target, both lexical baselines score 0.00 and DreamOS scores 0.80. On synthetic collections of 500 to 5,000 files, vectorising the graph computation cut a 2,000-file rebuild from 246.1 s to 24.8 s; the remaining 143.3 s rebuild at 5,000 files is reported as the current scaling limit. We also document a failure in which a language model's own reference flag overrode a confident direct answer, and the rule precedence that fixed it. Limitations, including the small hand-labelled query set,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semantic search, sentence embeddings, knowledge graph, local language models, personal information management, conversational memory, privacy by design.</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DreamOS lets a person describe a file in plain language and have it found, opened, related to other files, or organised, with every inference step running on the user's own computer. The six modules map loosely onto the memory vocabulary of cognitive science [10]: the embedding index and knowledge graph play the role of semantic memory, the stored conversation turns and open events that of episodic memory, and the session context that of working memory. We use this only as a design analogy and make no claim of cognitive modelling.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cooperating modules and a reversible organiser.</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deterministic-precedence rule for conversational follow-ups, introduced after a live failure in which the language model's own flag for "refers to previous" overrode a confident direct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including the scaling limit that remains.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at the operating-system-agent level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6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metadata and ranking heuristics on a keyword index [6]; Everything indexes NTFS file names for instant lookup without reading content [7]. Table I summarises the capability gap. None of the three retrieves by meaning in the documented configuration, and none reports a checkable statement of what leaves the machine.</w:t>
      </w:r>
    </w:p>
    <w:p>
      <w:pPr>
        <w:sectPr>
          <w:footerReference w:type="default" r:id="rId8"/>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(chat, knowledge graph, workspaces, privacy). The interface calls a FastAPI service bound to 127.0.0.1:8420, which calls a local Ollama runtime for two models, nomic-embed-text [16] for embeddings and llama3.2 (3B) for intent classification, summaries and tags, and reads and writes three local stores: SQLite for relational data, ChromaDB [4] for chunk vectors and a sandboxed vault of files. No component is reachable from outside the machine by default.</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it, embeds each chunk, stores the vectors, asks the language model for a summary, tags and a category, and rebuilds the graph; unchanged files are skipped by content hash. The query pipeline classifies each message into one of five intents (search, open, related, workspace, organise), resolves any reference to earlier results, and routes the request to the matching module.</w:t>
      </w:r>
    </w:p>
    <w:p>
      <w:pPr>
        <w:sectPr>
          <w:footerReference w:type="default" r:id="rId10"/>
          <w:type w:val="continuous"/>
          <w:pgSz w:w="12240" w:h="15840" w:orient="portrait"/>
          <w:pgMar w:top="1000" w:right="1000" w:bottom="1000" w:left="1000" w:header="708" w:footer="708" w:gutter="0"/>
          <w:pgNumType/>
          <w:cols w:space="360" w:num="2"/>
          <w:docGrid w:linePitch="360"/>
        </w:sectPr>
      </w:pPr>
    </w:p>
    <w:p>
      <w:pPr>
        <w:keepNext/>
        <w:spacing w:after="0" w:before="80"/>
        <w:jc w:val="center"/>
      </w:pPr>
      <w:r>
        <w:drawing>
          <wp:inline distT="0" distB="0" distL="0" distR="0">
            <wp:extent cx="52006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00650" cy="22669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57245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24525" cy="15906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00" w:right="1000" w:bottom="1000" w:left="10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Table II lists the design tables. Every derived table (edges, turns, usage, workspace membership) is keyed on the file's integer identifier, not its path. The organiser renames files when it moves them, but the identifier survives, so relationships and memory never need re-synchronising after a move, and a move can be reversed from the stored original path.</w:t>
      </w:r>
    </w:p>
    <w:p>
      <w:pPr>
        <w:sectPr>
          <w:footerReference w:type="default" r:id="rId12"/>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Database Design: Tables, Key Fields and Role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3280"/>
      </w:tblGrid>
      <w:tr>
        <w:trPr>
          <w:cantSplit/>
          <w:tblHeader/>
        </w:trPr>
        <w:tc>
          <w:tcPr>
            <w:tcW w:type="dxa" w:w="22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Store / table</w:t>
            </w:r>
          </w:p>
        </w:tc>
        <w:tc>
          <w:tcPr>
            <w:tcW w:type="dxa" w:w="46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Key fields</w:t>
            </w:r>
          </w:p>
        </w:tc>
        <w:tc>
          <w:tcPr>
            <w:tcW w:type="dxa" w:w="3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Role</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files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id (PK), path (unique), original_path, content_hash, summary, tags, category</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One row per file; stable identity</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file_edges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src_id, dst_id, kind, weight</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similar, references, shared_tag</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conversation_turns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session_id, role, message, intent, file_ids</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Episodic memory of the chat</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usage_events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file_id, kind, created_at</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 history; tie-break and rules</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workspaces, workspace_files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name (unique); workspace_id, file_id</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Named groups of files</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ChromaDB / vectors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id, document chunk, embedding, metadata (path)</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Nearest-neighbour retrieval</w:t>
            </w:r>
          </w:p>
        </w:tc>
      </w:tr>
    </w:tbl>
    <w:p>
      <w:pPr>
        <w:sectPr>
          <w:footerReference w:type="default" r:id="rId13"/>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correct answers to short queries (20 of 27 on the tuning set,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Python loop was replaced by one matrix product, S = ĤĤ^T, with neighbours chosen by partial sort. An equivalence test on random vectors confirms identical edges, so the rewrite changes speed and not behaviour. The inverted index for shared tags removed the other quadratic term.</w:t>
      </w:r>
    </w:p>
    <w:p>
      <w:pPr>
        <w:keepNext/>
        <w:spacing w:after="30" w:before="80"/>
      </w:pPr>
      <w:r>
        <w:rPr>
          <w:rFonts w:ascii="Times New Roman" w:cs="Times New Roman" w:eastAsia="Times New Roman" w:hAnsi="Times New Roman"/>
          <w:b/>
          <w:bCs/>
          <w:i/>
          <w:iCs/>
          <w:sz w:val="20"/>
          <w:szCs w:val="20"/>
        </w:rPr>
        <w:t xml:space="preserve">C. Context memory and deterministic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or "open it" resolve after a restart or a file move. Fig. 3 gives the resolution order: ordinal and bare-pronoun rules first, then a direct search on the topic the classifier extracted, and only if that search is below the confidence bar does the model's own "refers to previous" flag act as a last resort.</w:t>
      </w:r>
    </w:p>
    <w:p>
      <w:pPr>
        <w:keepNext/>
        <w:spacing w:after="0" w:before="80"/>
        <w:jc w:val="center"/>
      </w:pPr>
      <w:r>
        <w:drawing>
          <wp:inline distT="0" distB="0" distL="0" distR="0">
            <wp:extent cx="288607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86075" cy="25050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to true for this sentence while correctly extracting "resume" as the topic, apparently because the sentence matched an example in its own instructions; the system had trusted the flag unconditionally. A regression test that fails on the old precedence and passes on the new guards it.</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to confirm loopback-only binding),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(related groups, frequently opened files, duplicates, uncategorised and stale files) are rule-based on purpose, so they are reproducible and explainable and cost no extra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served by Ollama. The suite of 116 automated tests runs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with their relevant files before running any system.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(iii) embedding only, DreamOS without the keyword boost and cut-off; (iv) DreamOS as shipped. Metrics are Hit@1, Hit@3 and mean reciprocal rank (MRR), with 95% Wilson intervals [17] on Hit@1.</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were generated, about half with one distractor sentence from another topic. Each size ran in a fresh process with a fresh database and the real models. We measured indexing throughput (including the graph rebuild that follows an index pass), graph rebuild time, the latency of 36 queries, and precision at 5 against the generated topic label. The scripts (bench_scale.py, eval_retrieval.py) are part of the project repository.</w:t>
      </w:r>
    </w:p>
    <w:p>
      <w:pPr>
        <w:sectPr>
          <w:footerReference w:type="default" r:id="rId14"/>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5"/>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30099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09900" cy="18192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With 36 queries the Hit@1 interval for DreamOS is wide (about 0.82 to 0.99),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stays above 11.2 files per second up to 5,000 files and median search latency grows from 50.7 ms to 203.5 ms. Vectorising the graph computation reduced the 500-file rebuild from 17.0 s to 1.7 s and the 2,000-file rebuild from 246.1 s to 24.8 s (9.9 times); the 5,000-file rebuild was not measured before the change and takes 143.3 s after it. This last figure is the system's present scaling limit: the reference check and the clustering remain pairwise. Precision at 5 is 1.00 at every size, which shows only that the twelve synthetic topics separate; it is not a quality claim for real documents.</w:t>
      </w:r>
    </w:p>
    <w:p>
      <w:pPr>
        <w:sectPr>
          <w:footerReference w:type="default" r:id="rId16"/>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Before and After Vectorising the Graph Computation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(before to after)</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(before to after)</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to 19.4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to 1.7</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61.3</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to 15.5</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to 24.8</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121.0</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140.3</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to 11.2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to 143.3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203.5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239.0</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7"/>
          <w:type w:val="continuous"/>
          <w:pgSz w:w="12240" w:h="15840" w:orient="portrait"/>
          <w:pgMar w:top="1000" w:right="1000" w:bottom="1000" w:left="1000" w:header="708" w:footer="708" w:gutter="0"/>
          <w:pgNumType/>
          <w:docGrid w:linePitch="360"/>
        </w:sectPr>
      </w:pPr>
    </w:p>
    <w:p>
      <w:pPr>
        <w:keepNext/>
        <w:spacing w:after="0" w:before="80"/>
        <w:jc w:val="center"/>
      </w:pPr>
      <w:r>
        <w:drawing>
          <wp:inline distT="0" distB="0" distL="0" distR="0">
            <wp:extent cx="623887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38875" cy="1876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the pairwise loop against the vectorised matrix product. (b) Indexing throughput, which includes the graph rebuild. (c) Median and 95th-percentile search latency, which grows with the number of stored vectors.</w:t>
      </w:r>
    </w:p>
    <w:p>
      <w:pPr>
        <w:sectPr>
          <w:footerReference w:type="default" r:id="rId18"/>
          <w:type w:val="continuous"/>
          <w:pgSz w:w="12240" w:h="15840" w:orient="portrait"/>
          <w:pgMar w:top="1000" w:right="1000" w:bottom="1000" w:left="10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Each was diagnosed by measurement rather than assumption: the first by profiling, which located the time inside the socket connect call rather than in inference; the second by scaling the input and observing super-linear growth; the third by a live rehearsal that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D. Intent routing</w:t>
      </w:r>
    </w:p>
    <w:p>
      <w:pPr>
        <w:spacing w:after="0" w:line="230"/>
        <w:ind w:firstLine="280"/>
        <w:jc w:val="both"/>
      </w:pPr>
      <w:r>
        <w:rPr>
          <w:rFonts w:ascii="Times New Roman" w:cs="Times New Roman" w:eastAsia="Times New Roman" w:hAnsi="Times New Roman"/>
          <w:sz w:val="20"/>
          <w:szCs w:val="20"/>
        </w:rPr>
        <w:t xml:space="preserve">The intent prompt was evaluated rather than guessed: a 32-message tuning set and a separate 26-message held-out set were run on the real llama3.2. The first prompt scored 80% on the held-out set and the revised prompt 88% (23 of 26). The remaining misses are borderline phrasings, for example "which files should I archive" routed to organise rather than workspace. Every module sits behind this classifier, so this error rate bounds how often a request is routed to the wrong module.</w:t>
      </w:r>
    </w:p>
    <w:p>
      <w:pPr>
        <w:keepNext/>
        <w:spacing w:after="30" w:before="80"/>
      </w:pPr>
      <w:r>
        <w:rPr>
          <w:rFonts w:ascii="Times New Roman" w:cs="Times New Roman" w:eastAsia="Times New Roman" w:hAnsi="Times New Roman"/>
          <w:b/>
          <w:bCs/>
          <w:i/>
          <w:iCs/>
          <w:sz w:val="20"/>
          <w:szCs w:val="20"/>
        </w:rPr>
        <w:t xml:space="preserve">E. Interface</w:t>
      </w:r>
    </w:p>
    <w:p>
      <w:pPr>
        <w:spacing w:after="0" w:line="230"/>
        <w:ind w:firstLine="280"/>
        <w:jc w:val="both"/>
      </w:pPr>
      <w:r>
        <w:rPr>
          <w:rFonts w:ascii="Times New Roman" w:cs="Times New Roman" w:eastAsia="Times New Roman" w:hAnsi="Times New Roman"/>
          <w:sz w:val="20"/>
          <w:szCs w:val="20"/>
        </w:rPr>
        <w:t xml:space="preserve">Fig. 6 shows three of the four views. The chat view returns result cards, each with an action and, for related-file answers, the reason the files are linked (similar content, a direct reference or shared tags). The graph view lays out files and edges by force-directed layout; the workspace view lists recommendations with the rule that produced each, and creates workspaces that open together.</w:t>
      </w:r>
    </w:p>
    <w:p>
      <w:pPr>
        <w:sectPr>
          <w:footerReference w:type="default" r:id="rId19"/>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call about 15 ms; 100-file index 0.41 to 19.6 files/s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Quadratic graph</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Python loop over all file pairs</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equivalence test; 24.8 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0"/>
          <w:type w:val="continuous"/>
          <w:pgSz w:w="12240" w:h="15840" w:orient="portrait"/>
          <w:pgMar w:top="1000" w:right="1000" w:bottom="1000" w:left="1000" w:header="708" w:footer="708" w:gutter="0"/>
          <w:pgNumType/>
          <w:docGrid w:linePitch="360"/>
        </w:sectPr>
      </w:pPr>
    </w:p>
    <w:p>
      <w:pPr>
        <w:keepNext/>
        <w:spacing w:after="0" w:before="80"/>
        <w:jc w:val="center"/>
      </w:pPr>
      <w:r>
        <w:drawing>
          <wp:inline distT="0" distB="0" distL="0" distR="0">
            <wp:extent cx="59817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81700" cy="16668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Screenshots of the desktop client: (a) chat results with the reason each related file is linked, (b) the knowledge-graph view, (c) workspaces with rule-based suggestions.</w:t>
      </w:r>
    </w:p>
    <w:p>
      <w:pPr>
        <w:sectPr>
          <w:footerReference w:type="default" r:id="rId21"/>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is what separates the systems, and it comes from the embedding model, not from the surrounding engineering; what DreamOS adds is a single interface over retrieval, action and memory, evidence-ordered resolution of follow-ups, and a privacy statement that can be falsified. The negative results matter as much: the keyword boost trades a paraphrase query for several shared-word ones, and the graph rebuild is a real limit at 5,000 files.</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which risks unconscious favouring of the system; labels were fixed before the run, the partition is computed rather than judged, and failures are listed. Baselines are reference implementations of the lexical class (name match, BM25 with the system's own tokeniser), not the Windows Search, Spotlight or Everything products, so Table III supports a claim about lexical versus embedding retrieval, not about any named product. Construct: precision on synthetic topic labels measures topic separation, not usefulness. External: 37 files and 36 queries, one author's vault, one machine, one pair of small models; intent classification is 88% correct (23 of 26) on held-out phrasings and borderline phrasing is misrouted. Reproducibility: all numbers in this paper are read from committed result files produced by the two scripts above.</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with a privacy claim that can be checked. In a controlled comparison it retrieved paraphrased targets that lexical indexes cannot, at the cost of a small, reported regression on one query; measurement exposed two performance defects and one behavioural defect, each fixed and tested. Future work is a labelled evaluation on consented real documents, an approximate nearest-neighbour graph for collections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REFERENCES</w:t>
      </w:r>
    </w:p>
    <w:p>
      <w:pPr>
        <w:spacing w:after="30" w:line="216"/>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30" w:line="216"/>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30" w:line="216"/>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30" w:line="216"/>
        <w:ind w:left="260" w:hanging="260"/>
      </w:pPr>
      <w:r>
        <w:rPr>
          <w:rFonts w:ascii="Times New Roman" w:cs="Times New Roman" w:eastAsia="Times New Roman" w:hAnsi="Times New Roman"/>
          <w:sz w:val="16"/>
          <w:szCs w:val="16"/>
        </w:rPr>
        <w:t xml:space="preserve">[4] Chroma, “Chroma: the open-source embedding database,” github.com/chroma-core/chroma.</w:t>
      </w:r>
    </w:p>
    <w:p>
      <w:pPr>
        <w:spacing w:after="30" w:line="216"/>
        <w:ind w:left="260" w:hanging="260"/>
      </w:pPr>
      <w:r>
        <w:rPr>
          <w:rFonts w:ascii="Times New Roman" w:cs="Times New Roman" w:eastAsia="Times New Roman" w:hAnsi="Times New Roman"/>
          <w:sz w:val="16"/>
          <w:szCs w:val="16"/>
        </w:rPr>
        <w:t xml:space="preserve">[5] Microsoft, “Windows Search overview,” Microsoft Learn documentation.</w:t>
      </w:r>
    </w:p>
    <w:p>
      <w:pPr>
        <w:spacing w:after="30" w:line="216"/>
        <w:ind w:left="260" w:hanging="260"/>
      </w:pPr>
      <w:r>
        <w:rPr>
          <w:rFonts w:ascii="Times New Roman" w:cs="Times New Roman" w:eastAsia="Times New Roman" w:hAnsi="Times New Roman"/>
          <w:sz w:val="16"/>
          <w:szCs w:val="16"/>
        </w:rPr>
        <w:t xml:space="preserve">[6] Apple Inc., “Spotlight User Guide,” support.apple.com.</w:t>
      </w:r>
    </w:p>
    <w:p>
      <w:pPr>
        <w:spacing w:after="30" w:line="216"/>
        <w:ind w:left="260" w:hanging="260"/>
      </w:pPr>
      <w:r>
        <w:rPr>
          <w:rFonts w:ascii="Times New Roman" w:cs="Times New Roman" w:eastAsia="Times New Roman" w:hAnsi="Times New Roman"/>
          <w:sz w:val="16"/>
          <w:szCs w:val="16"/>
        </w:rPr>
        <w:t xml:space="preserve">[7] voidtools, “Everything: locate files and folders by name instantly,” voidtools.com.</w:t>
      </w:r>
    </w:p>
    <w:p>
      <w:pPr>
        <w:spacing w:after="30" w:line="216"/>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30" w:line="216"/>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30" w:line="216"/>
        <w:ind w:left="260" w:hanging="260"/>
      </w:pPr>
      <w:r>
        <w:rPr>
          <w:rFonts w:ascii="Times New Roman" w:cs="Times New Roman" w:eastAsia="Times New Roman" w:hAnsi="Times New Roman"/>
          <w:sz w:val="16"/>
          <w:szCs w:val="16"/>
        </w:rPr>
        <w:t xml:space="preserve">[10] E. Tulving, “Episodic and semantic memory,” in Organization of Memory, E. Tulving and W. Donaldson, Eds. Academic Press, 1972.</w:t>
      </w:r>
    </w:p>
    <w:p>
      <w:pPr>
        <w:spacing w:after="30" w:line="216"/>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30" w:line="216"/>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30" w:line="216"/>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30" w:line="216"/>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30" w:line="216"/>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2020.</w:t>
      </w:r>
    </w:p>
    <w:p>
      <w:pPr>
        <w:spacing w:after="30" w:line="216"/>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30" w:line="216"/>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1927.</w:t>
      </w:r>
    </w:p>
    <w:sectPr>
      <w:footerReference w:type="default" r:id="rId22"/>
      <w:type w:val="continuous"/>
      <w:pgSz w:w="12240" w:h="15840" w:orient="portrait"/>
      <w:pgMar w:top="1000" w:right="1000" w:bottom="1000" w:left="10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image" Target="media/a999e5877e68d55f0bd0b8397897dda7dea1f682.png"/><Relationship Id="rId24" Type="http://schemas.openxmlformats.org/officeDocument/2006/relationships/image" Target="media/8c023dad5a268eb04dd1cfdb6352aa46b01f468f.png"/><Relationship Id="rId25" Type="http://schemas.openxmlformats.org/officeDocument/2006/relationships/image" Target="media/32b58314e4aab7090f8b3fb8cb9250c0c7880b74.png"/><Relationship Id="rId26" Type="http://schemas.openxmlformats.org/officeDocument/2006/relationships/image" Target="media/d40c559a5749c135ed92f2a074d5997ca5ec6413.png"/><Relationship Id="rId27" Type="http://schemas.openxmlformats.org/officeDocument/2006/relationships/image" Target="media/11e065e9428cc3ed8310a9c8f3455e672b10009a.png"/><Relationship Id="rId28" Type="http://schemas.openxmlformats.org/officeDocument/2006/relationships/image" Target="media/acb6d21e5c212314db64aee7226d2cd9a93f291c.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A Locally Run Semantic File Manager with a Knowledge Graph, Conversational Memory and a Checkable Privacy Audit</dc:title>
  <dc:creator>Anonymous</dc:creator>
  <cp:lastModifiedBy>Un-named</cp:lastModifiedBy>
  <cp:revision>1</cp:revision>
  <dcterms:created xsi:type="dcterms:W3CDTF">2026-10-11T07:21:13.540Z</dcterms:created>
  <dcterms:modified xsi:type="dcterms:W3CDTF">2026-10-11T07:21:13.542Z</dcterms:modified>
</cp:coreProperties>
</file>

<file path=docProps/custom.xml><?xml version="1.0" encoding="utf-8"?>
<Properties xmlns="http://schemas.openxmlformats.org/officeDocument/2006/custom-properties" xmlns:vt="http://schemas.openxmlformats.org/officeDocument/2006/docPropsVTypes"/>
</file>