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60"/>
        <w:jc w:val="center"/>
      </w:pPr>
      <w:r>
        <w:rPr>
          <w:b/>
          <w:color w:val="1F4E79"/>
          <w:sz w:val="48"/>
        </w:rPr>
        <w:t>DECODELABS INDUSTRIAL TRAINING KIT</w:t>
      </w:r>
    </w:p>
    <w:p>
      <w:pPr>
        <w:spacing w:after="480"/>
        <w:jc w:val="center"/>
      </w:pPr>
      <w:r>
        <w:rPr>
          <w:i/>
          <w:color w:val="595959"/>
          <w:sz w:val="28"/>
        </w:rPr>
        <w:t>Digital Marketing Specialist Internship Portfolio</w:t>
        <w:br/>
        <w:t>Complete Three-Part Milestone Workbook</w:t>
      </w:r>
    </w:p>
    <w:p>
      <w:pPr>
        <w:spacing w:before="2400"/>
        <w:jc w:val="center"/>
      </w:pPr>
      <w:r>
        <w:rPr>
          <w:b/>
          <w:sz w:val="22"/>
        </w:rPr>
        <w:t>Batch: 2026 | Powered by DecodeLabs</w:t>
        <w:br/>
        <w:t>Candidate Track: Strategic Visibility &amp; Growth Architecture</w:t>
        <w:br/>
        <w:t>Submission Status: Verified Full Portfolio (Projects 1, 2, &amp; 3)</w:t>
      </w:r>
    </w:p>
    <w:p>
      <w:r>
        <w:br w:type="page"/>
      </w:r>
    </w:p>
    <w:p>
      <w:pPr>
        <w:keepNext/>
        <w:spacing w:before="520" w:after="200"/>
      </w:pPr>
      <w:r>
        <w:rPr>
          <w:b/>
          <w:color w:val="1F4E79"/>
          <w:sz w:val="32"/>
        </w:rPr>
        <w:t>Project 1: Social Media Content Planning (The Split-Brain Ecosystem)</w:t>
      </w:r>
    </w:p>
    <w:p>
      <w:r>
        <w:rPr>
          <w:b/>
        </w:rPr>
        <w:t xml:space="preserve">Strategic Objective: </w:t>
      </w:r>
      <w:r>
        <w:t>To establish a structured 30-day content roadmap built on pure marketing logic rather than fleeting viral trends. The goal is to move the target audience through a psychological funnel from initial Problem Awareness to firm Solution Authority, resolving academic and professional training fatigue.</w:t>
      </w:r>
    </w:p>
    <w:p>
      <w:pPr>
        <w:keepNext/>
        <w:spacing w:before="360" w:after="120"/>
      </w:pPr>
      <w:r>
        <w:rPr>
          <w:b/>
          <w:color w:val="2E75B6"/>
          <w:sz w:val="26"/>
        </w:rPr>
        <w:t>1. Audience Segmentation &amp; Intent Mapping</w:t>
      </w:r>
    </w:p>
    <w:p>
      <w:pPr>
        <w:pStyle w:val="ListBullet"/>
        <w:spacing w:after="120"/>
      </w:pPr>
      <w:r>
        <w:rPr>
          <w:b/>
        </w:rPr>
        <w:t xml:space="preserve">LinkedIn (The Trust Engine): </w:t>
      </w:r>
      <w:r>
        <w:t>Targeting the Buying Committee (CIOs, Training &amp; Placement Officers, and College Faculty). Intent is pre-sale validation and systematic risk reduction. Content demonstrates corporate judgment, MSME registration, and AICTE compliance status.</w:t>
      </w:r>
    </w:p>
    <w:p>
      <w:pPr>
        <w:pStyle w:val="ListBullet"/>
        <w:spacing w:after="120"/>
      </w:pPr>
      <w:r>
        <w:rPr>
          <w:b/>
        </w:rPr>
        <w:t xml:space="preserve">Instagram (The Engagement Layer): </w:t>
      </w:r>
      <w:r>
        <w:t>Targeting the End-Users (Students, engineering candidates, and young coders). Intent is vibe creation, community relevance, and human relatability through raw, unpolished proof of live technical work.</w:t>
      </w:r>
    </w:p>
    <w:p>
      <w:pPr>
        <w:keepNext/>
        <w:spacing w:before="360" w:after="120"/>
      </w:pPr>
      <w:r>
        <w:rPr>
          <w:b/>
          <w:color w:val="2E75B6"/>
          <w:sz w:val="26"/>
        </w:rPr>
        <w:t>2. 30-Day Calendar Breakdown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Timeline Phase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Content Type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Strategic Trigger &amp; Objective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Days 1 - 7</w:t>
              <w:br/>
              <w:t>Problem Awareness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LinkedIn / Instagram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Text + Infographic / Relatable Reel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Highlighting the traditional theory-practice gap and academic fatigue.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Completed</w:t>
            </w:r>
          </w:p>
        </w:tc>
      </w:tr>
      <w:tr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2F2F2"/>
          </w:tcPr>
          <w:p>
            <w:r>
              <w:rPr>
                <w:sz w:val="19"/>
              </w:rPr>
              <w:t>Days 8 - 15</w:t>
              <w:br/>
              <w:t>Proving Authority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2F2F2"/>
          </w:tcPr>
          <w:p>
            <w:r>
              <w:rPr>
                <w:sz w:val="19"/>
              </w:rPr>
              <w:t>LinkedIn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2F2F2"/>
          </w:tcPr>
          <w:p>
            <w:r>
              <w:rPr>
                <w:sz w:val="19"/>
              </w:rPr>
              <w:t>Slide Deck / Document Post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2F2F2"/>
          </w:tcPr>
          <w:p>
            <w:r>
              <w:rPr>
                <w:sz w:val="19"/>
              </w:rPr>
              <w:t>Showcasing institutional credibility via official MSME/AICTE registration assets.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2F2F2"/>
          </w:tcPr>
          <w:p>
            <w:r>
              <w:rPr>
                <w:sz w:val="19"/>
              </w:rPr>
              <w:t>Completed</w:t>
            </w:r>
          </w:p>
        </w:tc>
      </w:tr>
      <w:tr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Days 16 - 23</w:t>
              <w:br/>
              <w:t>Technical Value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Instagram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Raw Dev Video / Carousel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Peer Validation: Showcasing interns building real Deep-Stack AI Dashboards.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Completed</w:t>
            </w:r>
          </w:p>
        </w:tc>
      </w:tr>
      <w:tr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2F2F2"/>
          </w:tcPr>
          <w:p>
            <w:r>
              <w:rPr>
                <w:sz w:val="19"/>
              </w:rPr>
              <w:t>Days 24 - 30</w:t>
              <w:br/>
              <w:t>Action/Conversion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2F2F2"/>
          </w:tcPr>
          <w:p>
            <w:r>
              <w:rPr>
                <w:sz w:val="19"/>
              </w:rPr>
              <w:t>LinkedIn + Instagram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2F2F2"/>
          </w:tcPr>
          <w:p>
            <w:r>
              <w:rPr>
                <w:sz w:val="19"/>
              </w:rPr>
              <w:t>Clean Banner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2F2F2"/>
          </w:tcPr>
          <w:p>
            <w:r>
              <w:rPr>
                <w:sz w:val="19"/>
              </w:rPr>
              <w:t>Urgency: Last Call for Credits using low-friction action verbs (No 'Submit').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2F2F2"/>
          </w:tcPr>
          <w:p>
            <w:r>
              <w:rPr>
                <w:sz w:val="19"/>
              </w:rPr>
              <w:t>Completed</w:t>
            </w:r>
          </w:p>
        </w:tc>
      </w:tr>
    </w:tbl>
    <w:p>
      <w:r>
        <w:br w:type="page"/>
      </w:r>
    </w:p>
    <w:p>
      <w:pPr>
        <w:keepNext/>
        <w:spacing w:before="520" w:after="200"/>
      </w:pPr>
      <w:r>
        <w:rPr>
          <w:b/>
          <w:color w:val="1F4E79"/>
          <w:sz w:val="32"/>
        </w:rPr>
        <w:t>Project 2: SEO Basics &amp; Keyword Research (The Inbound Pull Highway)</w:t>
      </w:r>
    </w:p>
    <w:p>
      <w:r>
        <w:rPr>
          <w:b/>
        </w:rPr>
        <w:t xml:space="preserve">Strategic Objective: </w:t>
      </w:r>
      <w:r>
        <w:t>Transitioning from outbound disruptive marketing to an inbound pull strategy. This model targets human curiosity through algorithmic avenues by targeting highly specific long-tail queries. By maintaining a strict Keyword Golden Ratio (KGR) under 0.25, the platform secures page-one organic search results rapidly without ad spend.</w:t>
      </w:r>
    </w:p>
    <w:p>
      <w:pPr>
        <w:jc w:val="center"/>
      </w:pPr>
      <w:r>
        <w:rPr>
          <w:rFonts w:ascii="Consolas" w:hAnsi="Consolas"/>
          <w:b/>
          <w:color w:val="C00000"/>
          <w:sz w:val="22"/>
        </w:rPr>
        <w:t>KGR Formula = (Allintitle Search Results) / (Monthly Search Volume)</w:t>
      </w:r>
    </w:p>
    <w:p>
      <w:pPr>
        <w:keepNext/>
        <w:spacing w:before="360" w:after="120"/>
      </w:pPr>
      <w:r>
        <w:rPr>
          <w:b/>
          <w:color w:val="2E75B6"/>
          <w:sz w:val="26"/>
        </w:rPr>
        <w:t>The Master 20-Keyword Intent Ledger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E75B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560"/>
            <w:shd w:fill="2E75B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Target Search Phrase Phrase</w:t>
            </w:r>
          </w:p>
        </w:tc>
        <w:tc>
          <w:tcPr>
            <w:tcW w:type="dxa" w:w="1560"/>
            <w:shd w:fill="2E75B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Intent Archetype</w:t>
            </w:r>
          </w:p>
        </w:tc>
        <w:tc>
          <w:tcPr>
            <w:tcW w:type="dxa" w:w="1560"/>
            <w:shd w:fill="2E75B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Vol</w:t>
            </w:r>
          </w:p>
        </w:tc>
        <w:tc>
          <w:tcPr>
            <w:tcW w:type="dxa" w:w="1560"/>
            <w:shd w:fill="2E75B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Allintitle</w:t>
            </w:r>
          </w:p>
        </w:tc>
        <w:tc>
          <w:tcPr>
            <w:tcW w:type="dxa" w:w="1560"/>
            <w:shd w:fill="2E75B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KGR Score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remote data science internship for freshers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Transactional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240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0.05 (Great)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python data science internship b tech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Transactional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180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0.04 (Great)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how to use numpy for data analysis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Informational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400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0.06 (Great)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tensorflow projects for data science resume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Commercial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210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0.07 (Great)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data scientist salary in india 2026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Informational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800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0.05 (Great)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best python course 2026 online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Commercial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500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0.12 (Great)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remote machine learning internship tools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Transactional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150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0.03 (Great)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how to build real time chat app react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Informational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350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0.06 (Great)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node js e commerce store project github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Informational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280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0.05 (Great)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python vs java for backend development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Commercial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600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0.09 (Great)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full stack developer industrial training online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Transactional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0.05 (Great)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react node js full stack internship 2026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Transactional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190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0.03 (Great)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building deep stack web apps for beginners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Informational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120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0.03 (Great)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decodelabs login student portal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Navigational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900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0.002 (Great)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aicte approved remote internship platforms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Commercial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300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0.05 (Great)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industrial training certificate for b tech electronics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Transactional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250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0.07 (Great)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online summer internship with project credits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Transactional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400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0.08 (Great)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how to pass cloud infrastructure technical assessments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Informational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160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0.05 (Great)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best placement oriented online software training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Commercial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220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0.09 (Great)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apply for paid technical training freshers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Transactional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310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sz w:val="17"/>
              </w:rPr>
              <w:t>0.03 (Great)</w:t>
            </w:r>
          </w:p>
        </w:tc>
      </w:tr>
    </w:tbl>
    <w:p>
      <w:r>
        <w:br w:type="page"/>
      </w:r>
    </w:p>
    <w:p>
      <w:pPr>
        <w:keepNext/>
        <w:spacing w:before="520" w:after="200"/>
      </w:pPr>
      <w:r>
        <w:rPr>
          <w:b/>
          <w:color w:val="1F4E79"/>
          <w:sz w:val="32"/>
        </w:rPr>
        <w:t>Project 3: Paid Campaign &amp; Conversion Architecture (The Scaled Engine)</w:t>
      </w:r>
    </w:p>
    <w:p>
      <w:r>
        <w:rPr>
          <w:b/>
        </w:rPr>
        <w:t xml:space="preserve">Strategic Objective: </w:t>
      </w:r>
      <w:r>
        <w:t>To capitalize on the validation (Project 1) and intent mapping (Project 2) by deploying high-conversion paid acquisition architectures and on-page landing frameworks designed to drive immediate registrations.</w:t>
      </w:r>
    </w:p>
    <w:p>
      <w:pPr>
        <w:keepNext/>
        <w:spacing w:before="360" w:after="120"/>
      </w:pPr>
      <w:r>
        <w:rPr>
          <w:b/>
          <w:color w:val="2E75B6"/>
          <w:sz w:val="26"/>
        </w:rPr>
        <w:t>1. On-Page Search Meta Handover Parameters</w:t>
      </w:r>
    </w:p>
    <w:p>
      <w:pPr>
        <w:pStyle w:val="ListBullet"/>
        <w:spacing w:after="120"/>
      </w:pPr>
      <w:r>
        <w:rPr>
          <w:b/>
        </w:rPr>
        <w:t xml:space="preserve">Target Asset Title Tag: </w:t>
      </w:r>
      <w:r>
        <w:t>Remote Data Science Internship 2026 | Industry Training Kit | DecodeLabs</w:t>
      </w:r>
    </w:p>
    <w:p>
      <w:pPr>
        <w:pStyle w:val="ListBullet"/>
        <w:spacing w:after="120"/>
      </w:pPr>
      <w:r>
        <w:rPr>
          <w:b/>
        </w:rPr>
        <w:t xml:space="preserve">Meta Description Setup: </w:t>
      </w:r>
      <w:r>
        <w:t>Secure your academic software training credits. Apply for AICTE-compliant and MSME-certified remote internships at DecodeLabs. Start building real systems today.</w:t>
      </w:r>
    </w:p>
    <w:p>
      <w:pPr>
        <w:pStyle w:val="ListBullet"/>
        <w:spacing w:after="120"/>
      </w:pPr>
      <w:r>
        <w:rPr>
          <w:b/>
        </w:rPr>
        <w:t xml:space="preserve">Canonical URL Structure: </w:t>
      </w:r>
      <w:r>
        <w:t>https://www.decodelabs.tech/industrial-training/data-science</w:t>
      </w:r>
    </w:p>
    <w:p>
      <w:pPr>
        <w:keepNext/>
        <w:spacing w:before="360" w:after="120"/>
      </w:pPr>
      <w:r>
        <w:rPr>
          <w:b/>
          <w:color w:val="2E75B6"/>
          <w:sz w:val="26"/>
        </w:rPr>
        <w:t>2. Low-Friction CTA Execution Criteria</w:t>
      </w:r>
    </w:p>
    <w:p>
      <w:r>
        <w:rPr>
          <w:b/>
        </w:rPr>
        <w:t xml:space="preserve">The use of the word 'Submit' is completely banned across all technical components and landing page modules. </w:t>
      </w:r>
      <w:r>
        <w:t>Instead, conversion elements apply low-friction, high-value alternative verbs mapped exactly beside validation proofing mechanisms:</w:t>
      </w:r>
    </w:p>
    <w:p>
      <w:pPr>
        <w:pStyle w:val="ListBullet"/>
        <w:spacing w:after="120"/>
      </w:pPr>
      <w:r>
        <w:rPr>
          <w:b/>
        </w:rPr>
        <w:t xml:space="preserve">Primary Action Trigger Button: </w:t>
      </w:r>
      <w:r>
        <w:t>[ Start My Career Track → ]</w:t>
      </w:r>
    </w:p>
    <w:p>
      <w:pPr>
        <w:pStyle w:val="ListBullet"/>
        <w:spacing w:after="120"/>
      </w:pPr>
      <w:r>
        <w:rPr>
          <w:b/>
        </w:rPr>
        <w:t xml:space="preserve">Secondary Contextual Trigger Button: </w:t>
      </w:r>
      <w:r>
        <w:t>[ Claim My Verified Project Slot → ]</w:t>
      </w:r>
    </w:p>
    <w:p>
      <w:pPr>
        <w:pStyle w:val="ListBullet"/>
        <w:spacing w:after="120"/>
      </w:pPr>
      <w:r>
        <w:rPr>
          <w:b/>
        </w:rPr>
        <w:t xml:space="preserve">Anxiety Reduction Placement: </w:t>
      </w:r>
      <w:r>
        <w:t>Place the official AICTE compliance text and MSME validation badge directly within 15px of the conversion buttons to reduce drop-offs.</w:t>
      </w:r>
    </w:p>
    <w:p>
      <w:pPr>
        <w:keepNext/>
        <w:spacing w:before="360" w:after="120"/>
      </w:pPr>
      <w:r>
        <w:rPr>
          <w:b/>
          <w:color w:val="2E75B6"/>
          <w:sz w:val="26"/>
        </w:rPr>
        <w:t>3. Conversion Optimization &amp; Audit Framework</w:t>
      </w:r>
    </w:p>
    <w:p>
      <w:pPr>
        <w:pStyle w:val="ListBullet"/>
        <w:spacing w:after="120"/>
      </w:pPr>
      <w:r>
        <w:rPr>
          <w:b/>
        </w:rPr>
        <w:t xml:space="preserve">Vanity Metric Exclusion: </w:t>
      </w:r>
      <w:r>
        <w:t>Evaluation parameters ignore superficial impressions and post likes. Success is measured solely through direct student data inquiries and faculty placement verification requests.</w:t>
      </w:r>
    </w:p>
    <w:p>
      <w:pPr>
        <w:pStyle w:val="ListBullet"/>
        <w:spacing w:after="120"/>
      </w:pPr>
      <w:r>
        <w:rPr>
          <w:b/>
        </w:rPr>
        <w:t xml:space="preserve">Breadcrumb Progression Strategy: </w:t>
      </w:r>
      <w:r>
        <w:t>The acquisition form leverages multi-step micro-commitments (selecting the domain stack, such as Python or Full-Stack) before prompting for deeper personal contact vectors.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200"/>
    </w:pPr>
    <w:rPr>
      <w:rFonts w:ascii="Arial" w:hAnsi="Arial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