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rStyle w:val="Strong"/>
          <w:b/>
          <w:bCs/>
          <w:sz w:val="36"/>
          <w:szCs w:val="36"/>
        </w:rPr>
        <w:t>Assignment — Financial Management Case Study</w:t>
      </w:r>
    </w:p>
    <w:p>
      <w:pPr>
        <w:pStyle w:val="BodyText"/>
        <w:bidi w:val="0"/>
        <w:jc w:val="start"/>
        <w:rPr/>
      </w:pPr>
      <w:r>
        <w:rPr>
          <w:rStyle w:val="Strong"/>
        </w:rPr>
        <w:t>Company:</w:t>
      </w:r>
      <w:r>
        <w:rPr/>
        <w:t xml:space="preserve"> NVIDIA Corporation (NASDAQ: NVDA)</w:t>
        <w:br/>
      </w:r>
      <w:r>
        <w:rPr>
          <w:rStyle w:val="Strong"/>
        </w:rPr>
        <w:t>Course:</w:t>
      </w:r>
      <w:r>
        <w:rPr/>
        <w:t xml:space="preserve"> Financial Management</w:t>
        <w:br/>
      </w:r>
      <w:r>
        <w:rPr>
          <w:rStyle w:val="Strong"/>
        </w:rPr>
        <w:t>Student:</w:t>
      </w:r>
      <w:r>
        <w:rPr/>
        <w:t xml:space="preserve"> </w:t>
      </w:r>
      <w:r>
        <w:rPr/>
        <w:t>ZAIN UL ABDEEN</w:t>
      </w:r>
      <w:r>
        <w:rPr/>
        <w:br/>
      </w:r>
      <w:r>
        <w:rPr>
          <w:rStyle w:val="Strong"/>
        </w:rPr>
        <w:t>Roll No:</w:t>
      </w:r>
      <w:r>
        <w:rPr/>
        <w:t xml:space="preserve"> 2022-GU-</w:t>
      </w:r>
      <w:r>
        <w:rPr/>
        <w:t>0566</w:t>
      </w:r>
    </w:p>
    <w:p>
      <w:pPr>
        <w:pStyle w:val="HorizontalLine"/>
        <w:bidi w:val="0"/>
        <w:jc w:val="start"/>
        <w:rPr/>
      </w:pPr>
      <w:r>
        <w:rPr/>
      </w:r>
    </w:p>
    <w:p>
      <w:pPr>
        <w:pStyle w:val="Heading3"/>
        <w:bidi w:val="0"/>
        <w:jc w:val="start"/>
        <w:rPr/>
      </w:pPr>
      <w:r>
        <w:rPr>
          <w:rStyle w:val="Strong"/>
          <w:b/>
          <w:bCs/>
        </w:rPr>
        <w:t>Table of Contents</w:t>
      </w:r>
    </w:p>
    <w:p>
      <w:pPr>
        <w:pStyle w:val="BodyText"/>
        <w:numPr>
          <w:ilvl w:val="0"/>
          <w:numId w:val="2"/>
        </w:numPr>
        <w:tabs>
          <w:tab w:val="clear" w:pos="709"/>
          <w:tab w:val="left" w:pos="709" w:leader="none"/>
        </w:tabs>
        <w:bidi w:val="0"/>
        <w:ind w:hanging="283" w:start="709"/>
        <w:jc w:val="start"/>
        <w:rPr/>
      </w:pPr>
      <w:r>
        <w:rPr/>
        <w:t>Executive Summary</w:t>
      </w:r>
    </w:p>
    <w:p>
      <w:pPr>
        <w:pStyle w:val="BodyText"/>
        <w:numPr>
          <w:ilvl w:val="0"/>
          <w:numId w:val="2"/>
        </w:numPr>
        <w:tabs>
          <w:tab w:val="clear" w:pos="709"/>
          <w:tab w:val="left" w:pos="709" w:leader="none"/>
        </w:tabs>
        <w:bidi w:val="0"/>
        <w:ind w:hanging="283" w:start="709"/>
        <w:jc w:val="start"/>
        <w:rPr/>
      </w:pPr>
      <w:r>
        <w:rPr/>
        <w:t>Company Profile (Founders, History, Description)</w:t>
      </w:r>
    </w:p>
    <w:p>
      <w:pPr>
        <w:pStyle w:val="BodyText"/>
        <w:numPr>
          <w:ilvl w:val="0"/>
          <w:numId w:val="2"/>
        </w:numPr>
        <w:tabs>
          <w:tab w:val="clear" w:pos="709"/>
          <w:tab w:val="left" w:pos="709" w:leader="none"/>
        </w:tabs>
        <w:bidi w:val="0"/>
        <w:ind w:hanging="283" w:start="709"/>
        <w:jc w:val="start"/>
        <w:rPr/>
      </w:pPr>
      <w:r>
        <w:rPr/>
        <w:t>Business Dealings &amp; Major Products/Services</w:t>
      </w:r>
    </w:p>
    <w:p>
      <w:pPr>
        <w:pStyle w:val="BodyText"/>
        <w:numPr>
          <w:ilvl w:val="0"/>
          <w:numId w:val="2"/>
        </w:numPr>
        <w:tabs>
          <w:tab w:val="clear" w:pos="709"/>
          <w:tab w:val="left" w:pos="709" w:leader="none"/>
        </w:tabs>
        <w:bidi w:val="0"/>
        <w:ind w:hanging="283" w:start="709"/>
        <w:jc w:val="start"/>
        <w:rPr/>
      </w:pPr>
      <w:r>
        <w:rPr/>
        <w:t>Audited Financial Statements (Selected items — 2024 vs 2023)</w:t>
      </w:r>
    </w:p>
    <w:p>
      <w:pPr>
        <w:pStyle w:val="BodyText"/>
        <w:numPr>
          <w:ilvl w:val="0"/>
          <w:numId w:val="2"/>
        </w:numPr>
        <w:tabs>
          <w:tab w:val="clear" w:pos="709"/>
          <w:tab w:val="left" w:pos="709" w:leader="none"/>
        </w:tabs>
        <w:bidi w:val="0"/>
        <w:ind w:hanging="283" w:start="709"/>
        <w:jc w:val="start"/>
        <w:rPr/>
      </w:pPr>
      <w:r>
        <w:rPr/>
        <w:t>Financial Analysis (working capital, liquidity, leverage, profitability ratios)</w:t>
      </w:r>
    </w:p>
    <w:p>
      <w:pPr>
        <w:pStyle w:val="BodyText"/>
        <w:numPr>
          <w:ilvl w:val="0"/>
          <w:numId w:val="2"/>
        </w:numPr>
        <w:tabs>
          <w:tab w:val="clear" w:pos="709"/>
          <w:tab w:val="left" w:pos="709" w:leader="none"/>
        </w:tabs>
        <w:bidi w:val="0"/>
        <w:ind w:hanging="283" w:start="709"/>
        <w:jc w:val="start"/>
        <w:rPr/>
      </w:pPr>
      <w:r>
        <w:rPr/>
        <w:t>Stakeholders &amp; Shareholders (ownership structure)</w:t>
      </w:r>
    </w:p>
    <w:p>
      <w:pPr>
        <w:pStyle w:val="BodyText"/>
        <w:numPr>
          <w:ilvl w:val="0"/>
          <w:numId w:val="2"/>
        </w:numPr>
        <w:tabs>
          <w:tab w:val="clear" w:pos="709"/>
          <w:tab w:val="left" w:pos="709" w:leader="none"/>
        </w:tabs>
        <w:bidi w:val="0"/>
        <w:ind w:hanging="283" w:start="709"/>
        <w:jc w:val="start"/>
        <w:rPr/>
      </w:pPr>
      <w:r>
        <w:rPr/>
        <w:t>Organizational Chart (simplified)</w:t>
      </w:r>
    </w:p>
    <w:p>
      <w:pPr>
        <w:pStyle w:val="BodyText"/>
        <w:numPr>
          <w:ilvl w:val="0"/>
          <w:numId w:val="2"/>
        </w:numPr>
        <w:tabs>
          <w:tab w:val="clear" w:pos="709"/>
          <w:tab w:val="left" w:pos="709" w:leader="none"/>
        </w:tabs>
        <w:bidi w:val="0"/>
        <w:ind w:hanging="283" w:start="709"/>
        <w:jc w:val="start"/>
        <w:rPr/>
      </w:pPr>
      <w:r>
        <w:rPr/>
        <w:t>Major Challenges (with analysis)</w:t>
      </w:r>
    </w:p>
    <w:p>
      <w:pPr>
        <w:pStyle w:val="BodyText"/>
        <w:numPr>
          <w:ilvl w:val="0"/>
          <w:numId w:val="2"/>
        </w:numPr>
        <w:tabs>
          <w:tab w:val="clear" w:pos="709"/>
          <w:tab w:val="left" w:pos="709" w:leader="none"/>
        </w:tabs>
        <w:bidi w:val="0"/>
        <w:ind w:hanging="283" w:start="709"/>
        <w:jc w:val="start"/>
        <w:rPr/>
      </w:pPr>
      <w:r>
        <w:rPr/>
        <w:t>Recommendations</w:t>
      </w:r>
    </w:p>
    <w:p>
      <w:pPr>
        <w:pStyle w:val="BodyText"/>
        <w:numPr>
          <w:ilvl w:val="0"/>
          <w:numId w:val="2"/>
        </w:numPr>
        <w:tabs>
          <w:tab w:val="clear" w:pos="709"/>
          <w:tab w:val="left" w:pos="709" w:leader="none"/>
        </w:tabs>
        <w:bidi w:val="0"/>
        <w:ind w:hanging="283" w:start="709"/>
        <w:jc w:val="start"/>
        <w:rPr/>
      </w:pPr>
      <w:r>
        <w:rPr/>
        <w:t>Conclusion</w:t>
      </w:r>
    </w:p>
    <w:p>
      <w:pPr>
        <w:pStyle w:val="BodyText"/>
        <w:numPr>
          <w:ilvl w:val="0"/>
          <w:numId w:val="2"/>
        </w:numPr>
        <w:tabs>
          <w:tab w:val="clear" w:pos="709"/>
          <w:tab w:val="left" w:pos="709" w:leader="none"/>
        </w:tabs>
        <w:bidi w:val="0"/>
        <w:ind w:hanging="283" w:start="709"/>
        <w:jc w:val="start"/>
        <w:rPr/>
      </w:pPr>
      <w:r>
        <w:rPr/>
        <w:t>References</w:t>
      </w:r>
    </w:p>
    <w:p>
      <w:pPr>
        <w:pStyle w:val="HorizontalLine"/>
        <w:bidi w:val="0"/>
        <w:jc w:val="start"/>
        <w:rPr/>
      </w:pPr>
      <w:r>
        <w:rPr/>
      </w:r>
    </w:p>
    <w:p>
      <w:pPr>
        <w:pStyle w:val="Heading3"/>
        <w:bidi w:val="0"/>
        <w:jc w:val="start"/>
        <w:rPr/>
      </w:pPr>
      <w:r>
        <w:rPr>
          <w:rStyle w:val="Strong"/>
          <w:b/>
          <w:bCs/>
        </w:rPr>
        <w:t>1. Executive Summary</w:t>
      </w:r>
    </w:p>
    <w:p>
      <w:pPr>
        <w:pStyle w:val="BodyText"/>
        <w:bidi w:val="0"/>
        <w:jc w:val="start"/>
        <w:rPr/>
      </w:pPr>
      <w:r>
        <w:rPr/>
        <w:t xml:space="preserve">NVIDIA Corporation is a global leader in accelerated computing, artificial intelligence, and high-performance graphics technologies. The company’s fiscal year 2024 results reflect record-breaking performance driven by strong AI and data center demand. Revenue rose to </w:t>
      </w:r>
      <w:r>
        <w:rPr>
          <w:rStyle w:val="Strong"/>
        </w:rPr>
        <w:t>$60.9 billion</w:t>
      </w:r>
      <w:r>
        <w:rPr/>
        <w:t xml:space="preserve">, and net income surged to </w:t>
      </w:r>
      <w:r>
        <w:rPr>
          <w:rStyle w:val="Strong"/>
        </w:rPr>
        <w:t>$29.8 billion</w:t>
      </w:r>
      <w:r>
        <w:rPr/>
        <w:t>, marking one of the highest margins in the semiconductor sector. NVIDIA maintains robust liquidity, low leverage, and industry-leading innovation but faces risks from geopolitical tensions and supply dependencies.</w:t>
      </w:r>
    </w:p>
    <w:p>
      <w:pPr>
        <w:pStyle w:val="HorizontalLine"/>
        <w:bidi w:val="0"/>
        <w:jc w:val="start"/>
        <w:rPr/>
      </w:pPr>
      <w:r>
        <w:rPr/>
      </w:r>
    </w:p>
    <w:p>
      <w:pPr>
        <w:pStyle w:val="Heading3"/>
        <w:bidi w:val="0"/>
        <w:jc w:val="start"/>
        <w:rPr/>
      </w:pPr>
      <w:r>
        <w:rPr>
          <w:rStyle w:val="Strong"/>
          <w:b/>
          <w:bCs/>
        </w:rPr>
        <w:t>2. Company Profile</w:t>
      </w:r>
    </w:p>
    <w:tbl>
      <w:tblPr>
        <w:tblW w:w="6421" w:type="dxa"/>
        <w:jc w:val="start"/>
        <w:tblInd w:w="0" w:type="dxa"/>
        <w:tblLayout w:type="fixed"/>
        <w:tblCellMar>
          <w:top w:w="28" w:type="dxa"/>
          <w:start w:w="28" w:type="dxa"/>
          <w:bottom w:w="28" w:type="dxa"/>
          <w:end w:w="28" w:type="dxa"/>
        </w:tblCellMar>
      </w:tblPr>
      <w:tblGrid>
        <w:gridCol w:w="1547"/>
        <w:gridCol w:w="4874"/>
      </w:tblGrid>
      <w:tr>
        <w:trPr>
          <w:tblHeader w:val="true"/>
        </w:trPr>
        <w:tc>
          <w:tcPr>
            <w:tcW w:w="1547" w:type="dxa"/>
            <w:tcBorders/>
            <w:vAlign w:val="center"/>
          </w:tcPr>
          <w:p>
            <w:pPr>
              <w:pStyle w:val="TableHeading"/>
              <w:suppressLineNumbers/>
              <w:bidi w:val="0"/>
              <w:jc w:val="center"/>
              <w:rPr/>
            </w:pPr>
            <w:r>
              <w:rPr>
                <w:rStyle w:val="Strong"/>
                <w:b/>
                <w:bCs/>
              </w:rPr>
              <w:t>Attribute</w:t>
            </w:r>
          </w:p>
        </w:tc>
        <w:tc>
          <w:tcPr>
            <w:tcW w:w="4874" w:type="dxa"/>
            <w:tcBorders/>
            <w:vAlign w:val="center"/>
          </w:tcPr>
          <w:p>
            <w:pPr>
              <w:pStyle w:val="TableHeading"/>
              <w:suppressLineNumbers/>
              <w:bidi w:val="0"/>
              <w:jc w:val="center"/>
              <w:rPr/>
            </w:pPr>
            <w:r>
              <w:rPr>
                <w:rStyle w:val="Strong"/>
                <w:b/>
                <w:bCs/>
              </w:rPr>
              <w:t>Details</w:t>
            </w:r>
          </w:p>
        </w:tc>
      </w:tr>
      <w:tr>
        <w:trPr/>
        <w:tc>
          <w:tcPr>
            <w:tcW w:w="1547" w:type="dxa"/>
            <w:tcBorders/>
            <w:vAlign w:val="center"/>
          </w:tcPr>
          <w:p>
            <w:pPr>
              <w:pStyle w:val="TableContents"/>
              <w:widowControl w:val="false"/>
              <w:suppressLineNumbers/>
              <w:bidi w:val="0"/>
              <w:jc w:val="start"/>
              <w:rPr/>
            </w:pPr>
            <w:r>
              <w:rPr>
                <w:rStyle w:val="Strong"/>
              </w:rPr>
              <w:t>Full Name</w:t>
            </w:r>
          </w:p>
        </w:tc>
        <w:tc>
          <w:tcPr>
            <w:tcW w:w="4874" w:type="dxa"/>
            <w:tcBorders/>
            <w:vAlign w:val="center"/>
          </w:tcPr>
          <w:p>
            <w:pPr>
              <w:pStyle w:val="TableContents"/>
              <w:widowControl w:val="false"/>
              <w:suppressLineNumbers/>
              <w:bidi w:val="0"/>
              <w:jc w:val="start"/>
              <w:rPr/>
            </w:pPr>
            <w:r>
              <w:rPr/>
              <w:t>NVIDIA Corporation</w:t>
            </w:r>
          </w:p>
        </w:tc>
      </w:tr>
      <w:tr>
        <w:trPr/>
        <w:tc>
          <w:tcPr>
            <w:tcW w:w="1547" w:type="dxa"/>
            <w:tcBorders/>
            <w:vAlign w:val="center"/>
          </w:tcPr>
          <w:p>
            <w:pPr>
              <w:pStyle w:val="TableContents"/>
              <w:widowControl w:val="false"/>
              <w:suppressLineNumbers/>
              <w:bidi w:val="0"/>
              <w:jc w:val="start"/>
              <w:rPr/>
            </w:pPr>
            <w:r>
              <w:rPr>
                <w:rStyle w:val="Strong"/>
              </w:rPr>
              <w:t>Founded</w:t>
            </w:r>
          </w:p>
        </w:tc>
        <w:tc>
          <w:tcPr>
            <w:tcW w:w="4874" w:type="dxa"/>
            <w:tcBorders/>
            <w:vAlign w:val="center"/>
          </w:tcPr>
          <w:p>
            <w:pPr>
              <w:pStyle w:val="TableContents"/>
              <w:widowControl w:val="false"/>
              <w:suppressLineNumbers/>
              <w:bidi w:val="0"/>
              <w:jc w:val="start"/>
              <w:rPr/>
            </w:pPr>
            <w:r>
              <w:rPr/>
              <w:t>April 5, 1993</w:t>
            </w:r>
          </w:p>
        </w:tc>
      </w:tr>
      <w:tr>
        <w:trPr/>
        <w:tc>
          <w:tcPr>
            <w:tcW w:w="1547" w:type="dxa"/>
            <w:tcBorders/>
            <w:vAlign w:val="center"/>
          </w:tcPr>
          <w:p>
            <w:pPr>
              <w:pStyle w:val="TableContents"/>
              <w:widowControl w:val="false"/>
              <w:suppressLineNumbers/>
              <w:bidi w:val="0"/>
              <w:jc w:val="start"/>
              <w:rPr/>
            </w:pPr>
            <w:r>
              <w:rPr>
                <w:rStyle w:val="Strong"/>
              </w:rPr>
              <w:t>Founders</w:t>
            </w:r>
          </w:p>
        </w:tc>
        <w:tc>
          <w:tcPr>
            <w:tcW w:w="4874" w:type="dxa"/>
            <w:tcBorders/>
            <w:vAlign w:val="center"/>
          </w:tcPr>
          <w:p>
            <w:pPr>
              <w:pStyle w:val="TableContents"/>
              <w:widowControl w:val="false"/>
              <w:suppressLineNumbers/>
              <w:bidi w:val="0"/>
              <w:jc w:val="start"/>
              <w:rPr/>
            </w:pPr>
            <w:r>
              <w:rPr/>
              <w:t>Jensen Huang, Chris Malachowsky, Curtis Priem</w:t>
            </w:r>
          </w:p>
        </w:tc>
      </w:tr>
      <w:tr>
        <w:trPr/>
        <w:tc>
          <w:tcPr>
            <w:tcW w:w="1547" w:type="dxa"/>
            <w:tcBorders/>
            <w:vAlign w:val="center"/>
          </w:tcPr>
          <w:p>
            <w:pPr>
              <w:pStyle w:val="TableContents"/>
              <w:widowControl w:val="false"/>
              <w:suppressLineNumbers/>
              <w:bidi w:val="0"/>
              <w:jc w:val="start"/>
              <w:rPr/>
            </w:pPr>
            <w:r>
              <w:rPr>
                <w:rStyle w:val="Strong"/>
              </w:rPr>
              <w:t>Headquarters</w:t>
            </w:r>
          </w:p>
        </w:tc>
        <w:tc>
          <w:tcPr>
            <w:tcW w:w="4874" w:type="dxa"/>
            <w:tcBorders/>
            <w:vAlign w:val="center"/>
          </w:tcPr>
          <w:p>
            <w:pPr>
              <w:pStyle w:val="TableContents"/>
              <w:widowControl w:val="false"/>
              <w:suppressLineNumbers/>
              <w:bidi w:val="0"/>
              <w:jc w:val="start"/>
              <w:rPr/>
            </w:pPr>
            <w:r>
              <w:rPr/>
              <w:t>Santa Clara, California, USA</w:t>
            </w:r>
          </w:p>
        </w:tc>
      </w:tr>
      <w:tr>
        <w:trPr/>
        <w:tc>
          <w:tcPr>
            <w:tcW w:w="1547" w:type="dxa"/>
            <w:tcBorders/>
            <w:vAlign w:val="center"/>
          </w:tcPr>
          <w:p>
            <w:pPr>
              <w:pStyle w:val="TableContents"/>
              <w:widowControl w:val="false"/>
              <w:suppressLineNumbers/>
              <w:bidi w:val="0"/>
              <w:jc w:val="start"/>
              <w:rPr/>
            </w:pPr>
            <w:r>
              <w:rPr>
                <w:rStyle w:val="Strong"/>
              </w:rPr>
              <w:t>Industry</w:t>
            </w:r>
          </w:p>
        </w:tc>
        <w:tc>
          <w:tcPr>
            <w:tcW w:w="4874" w:type="dxa"/>
            <w:tcBorders/>
            <w:vAlign w:val="center"/>
          </w:tcPr>
          <w:p>
            <w:pPr>
              <w:pStyle w:val="TableContents"/>
              <w:widowControl w:val="false"/>
              <w:suppressLineNumbers/>
              <w:bidi w:val="0"/>
              <w:jc w:val="start"/>
              <w:rPr/>
            </w:pPr>
            <w:r>
              <w:rPr/>
              <w:t>Semiconductors, AI Computing, Software</w:t>
            </w:r>
          </w:p>
        </w:tc>
      </w:tr>
      <w:tr>
        <w:trPr/>
        <w:tc>
          <w:tcPr>
            <w:tcW w:w="1547" w:type="dxa"/>
            <w:tcBorders/>
            <w:vAlign w:val="center"/>
          </w:tcPr>
          <w:p>
            <w:pPr>
              <w:pStyle w:val="TableContents"/>
              <w:widowControl w:val="false"/>
              <w:suppressLineNumbers/>
              <w:bidi w:val="0"/>
              <w:jc w:val="start"/>
              <w:rPr/>
            </w:pPr>
            <w:r>
              <w:rPr>
                <w:rStyle w:val="Strong"/>
              </w:rPr>
              <w:t>Ticker</w:t>
            </w:r>
          </w:p>
        </w:tc>
        <w:tc>
          <w:tcPr>
            <w:tcW w:w="4874" w:type="dxa"/>
            <w:tcBorders/>
            <w:vAlign w:val="center"/>
          </w:tcPr>
          <w:p>
            <w:pPr>
              <w:pStyle w:val="TableContents"/>
              <w:widowControl w:val="false"/>
              <w:suppressLineNumbers/>
              <w:bidi w:val="0"/>
              <w:jc w:val="start"/>
              <w:rPr/>
            </w:pPr>
            <w:r>
              <w:rPr/>
              <w:t>NVDA (NASDAQ)</w:t>
            </w:r>
          </w:p>
        </w:tc>
      </w:tr>
    </w:tbl>
    <w:p>
      <w:pPr>
        <w:pStyle w:val="HorizontalLine"/>
        <w:bidi w:val="0"/>
        <w:jc w:val="start"/>
        <w:rPr/>
      </w:pPr>
      <w:r>
        <w:rPr/>
      </w:r>
    </w:p>
    <w:p>
      <w:pPr>
        <w:pStyle w:val="Heading3"/>
        <w:bidi w:val="0"/>
        <w:jc w:val="start"/>
        <w:rPr/>
      </w:pPr>
      <w:r>
        <w:rPr>
          <w:rStyle w:val="Strong"/>
          <w:b/>
          <w:bCs/>
        </w:rPr>
        <w:t>3. Business Dealings &amp; Major Products / Services</w:t>
      </w:r>
    </w:p>
    <w:p>
      <w:pPr>
        <w:pStyle w:val="BodyText"/>
        <w:bidi w:val="0"/>
        <w:jc w:val="start"/>
        <w:rPr/>
      </w:pPr>
      <w:r>
        <w:rPr>
          <w:rStyle w:val="Strong"/>
        </w:rPr>
        <w:t>Core Segments</w:t>
      </w:r>
    </w:p>
    <w:p>
      <w:pPr>
        <w:pStyle w:val="BodyText"/>
        <w:numPr>
          <w:ilvl w:val="0"/>
          <w:numId w:val="3"/>
        </w:numPr>
        <w:tabs>
          <w:tab w:val="clear" w:pos="709"/>
          <w:tab w:val="left" w:pos="709" w:leader="none"/>
        </w:tabs>
        <w:bidi w:val="0"/>
        <w:ind w:hanging="283" w:start="709"/>
        <w:jc w:val="start"/>
        <w:rPr/>
      </w:pPr>
      <w:r>
        <w:rPr>
          <w:rStyle w:val="Strong"/>
        </w:rPr>
        <w:t>Data Center</w:t>
      </w:r>
      <w:r>
        <w:rPr/>
        <w:t xml:space="preserve"> – AI accelerators (H100, A100, Grace Hopper), DGX Cloud, and networking.</w:t>
      </w:r>
    </w:p>
    <w:p>
      <w:pPr>
        <w:pStyle w:val="BodyText"/>
        <w:numPr>
          <w:ilvl w:val="0"/>
          <w:numId w:val="3"/>
        </w:numPr>
        <w:tabs>
          <w:tab w:val="clear" w:pos="709"/>
          <w:tab w:val="left" w:pos="709" w:leader="none"/>
        </w:tabs>
        <w:bidi w:val="0"/>
        <w:ind w:hanging="283" w:start="709"/>
        <w:jc w:val="start"/>
        <w:rPr/>
      </w:pPr>
      <w:r>
        <w:rPr>
          <w:rStyle w:val="Strong"/>
        </w:rPr>
        <w:t>Gaming</w:t>
      </w:r>
      <w:r>
        <w:rPr/>
        <w:t xml:space="preserve"> – GeForce RTX GPUs, GeForce NOW cloud gaming platform.</w:t>
      </w:r>
    </w:p>
    <w:p>
      <w:pPr>
        <w:pStyle w:val="BodyText"/>
        <w:numPr>
          <w:ilvl w:val="0"/>
          <w:numId w:val="3"/>
        </w:numPr>
        <w:tabs>
          <w:tab w:val="clear" w:pos="709"/>
          <w:tab w:val="left" w:pos="709" w:leader="none"/>
        </w:tabs>
        <w:bidi w:val="0"/>
        <w:ind w:hanging="283" w:start="709"/>
        <w:jc w:val="start"/>
        <w:rPr/>
      </w:pPr>
      <w:r>
        <w:rPr>
          <w:rStyle w:val="Strong"/>
        </w:rPr>
        <w:t>Professional Visualization</w:t>
      </w:r>
      <w:r>
        <w:rPr/>
        <w:t xml:space="preserve"> – RTX workstation GPUs, Omniverse simulation tools.</w:t>
      </w:r>
    </w:p>
    <w:p>
      <w:pPr>
        <w:pStyle w:val="BodyText"/>
        <w:numPr>
          <w:ilvl w:val="0"/>
          <w:numId w:val="3"/>
        </w:numPr>
        <w:tabs>
          <w:tab w:val="clear" w:pos="709"/>
          <w:tab w:val="left" w:pos="709" w:leader="none"/>
        </w:tabs>
        <w:bidi w:val="0"/>
        <w:ind w:hanging="283" w:start="709"/>
        <w:jc w:val="start"/>
        <w:rPr/>
      </w:pPr>
      <w:r>
        <w:rPr>
          <w:rStyle w:val="Strong"/>
        </w:rPr>
        <w:t>Automotive</w:t>
      </w:r>
      <w:r>
        <w:rPr/>
        <w:t xml:space="preserve"> – DRIVE Orin and DRIVE Thor for autonomous vehicles.</w:t>
      </w:r>
    </w:p>
    <w:p>
      <w:pPr>
        <w:pStyle w:val="BodyText"/>
        <w:numPr>
          <w:ilvl w:val="0"/>
          <w:numId w:val="3"/>
        </w:numPr>
        <w:tabs>
          <w:tab w:val="clear" w:pos="709"/>
          <w:tab w:val="left" w:pos="709" w:leader="none"/>
        </w:tabs>
        <w:bidi w:val="0"/>
        <w:ind w:hanging="283" w:start="709"/>
        <w:jc w:val="start"/>
        <w:rPr/>
      </w:pPr>
      <w:r>
        <w:rPr>
          <w:rStyle w:val="Strong"/>
        </w:rPr>
        <w:t>Software</w:t>
      </w:r>
      <w:r>
        <w:rPr/>
        <w:t xml:space="preserve"> – CUDA, NVIDIA AI Enterprise, and Omniverse Cloud.</w:t>
      </w:r>
    </w:p>
    <w:p>
      <w:pPr>
        <w:pStyle w:val="BodyText"/>
        <w:bidi w:val="0"/>
        <w:jc w:val="start"/>
        <w:rPr/>
      </w:pPr>
      <w:r>
        <w:rPr>
          <w:rStyle w:val="Strong"/>
        </w:rPr>
        <w:t>Geographic Distribution:</w:t>
      </w:r>
      <w:r>
        <w:rPr/>
        <w:t xml:space="preserve"> Major revenue from U.S. (38%), China (25%), Taiwan (15%), and Europe (12%).</w:t>
      </w:r>
    </w:p>
    <w:p>
      <w:pPr>
        <w:pStyle w:val="HorizontalLine"/>
        <w:bidi w:val="0"/>
        <w:jc w:val="start"/>
        <w:rPr/>
      </w:pPr>
      <w:r>
        <w:rPr/>
      </w:r>
    </w:p>
    <w:p>
      <w:pPr>
        <w:pStyle w:val="Heading3"/>
        <w:bidi w:val="0"/>
        <w:jc w:val="start"/>
        <w:rPr/>
      </w:pPr>
      <w:r>
        <w:rPr>
          <w:rStyle w:val="Strong"/>
          <w:b/>
          <w:bCs/>
        </w:rPr>
        <w:t>4. Audited Financial Statements (Selected — in millions USD)</w:t>
      </w:r>
    </w:p>
    <w:p>
      <w:pPr>
        <w:pStyle w:val="Heading4"/>
        <w:bidi w:val="0"/>
        <w:jc w:val="start"/>
        <w:rPr/>
      </w:pPr>
      <w:r>
        <w:rPr>
          <w:rStyle w:val="Strong"/>
          <w:b/>
          <w:bCs/>
        </w:rPr>
        <w:t>Consolidated Balance Sheet</w:t>
      </w:r>
    </w:p>
    <w:tbl>
      <w:tblPr>
        <w:tblW w:w="4355" w:type="dxa"/>
        <w:jc w:val="start"/>
        <w:tblInd w:w="0" w:type="dxa"/>
        <w:tblLayout w:type="fixed"/>
        <w:tblCellMar>
          <w:top w:w="28" w:type="dxa"/>
          <w:start w:w="28" w:type="dxa"/>
          <w:bottom w:w="28" w:type="dxa"/>
          <w:end w:w="28" w:type="dxa"/>
        </w:tblCellMar>
      </w:tblPr>
      <w:tblGrid>
        <w:gridCol w:w="2778"/>
        <w:gridCol w:w="766"/>
        <w:gridCol w:w="811"/>
      </w:tblGrid>
      <w:tr>
        <w:trPr>
          <w:tblHeader w:val="true"/>
        </w:trPr>
        <w:tc>
          <w:tcPr>
            <w:tcW w:w="2778" w:type="dxa"/>
            <w:tcBorders/>
            <w:vAlign w:val="center"/>
          </w:tcPr>
          <w:p>
            <w:pPr>
              <w:pStyle w:val="TableHeading"/>
              <w:suppressLineNumbers/>
              <w:bidi w:val="0"/>
              <w:jc w:val="center"/>
              <w:rPr/>
            </w:pPr>
            <w:r>
              <w:rPr>
                <w:rStyle w:val="Strong"/>
                <w:b/>
                <w:bCs/>
              </w:rPr>
              <w:t>Item</w:t>
            </w:r>
          </w:p>
        </w:tc>
        <w:tc>
          <w:tcPr>
            <w:tcW w:w="766" w:type="dxa"/>
            <w:tcBorders/>
            <w:vAlign w:val="center"/>
          </w:tcPr>
          <w:p>
            <w:pPr>
              <w:pStyle w:val="TableHeading"/>
              <w:suppressLineNumbers/>
              <w:bidi w:val="0"/>
              <w:jc w:val="center"/>
              <w:rPr/>
            </w:pPr>
            <w:r>
              <w:rPr>
                <w:rStyle w:val="Strong"/>
                <w:b/>
                <w:bCs/>
              </w:rPr>
              <w:t>2024</w:t>
            </w:r>
          </w:p>
        </w:tc>
        <w:tc>
          <w:tcPr>
            <w:tcW w:w="811" w:type="dxa"/>
            <w:tcBorders/>
            <w:vAlign w:val="center"/>
          </w:tcPr>
          <w:p>
            <w:pPr>
              <w:pStyle w:val="TableHeading"/>
              <w:suppressLineNumbers/>
              <w:bidi w:val="0"/>
              <w:jc w:val="center"/>
              <w:rPr/>
            </w:pPr>
            <w:r>
              <w:rPr>
                <w:rStyle w:val="Strong"/>
                <w:b/>
                <w:bCs/>
              </w:rPr>
              <w:t>2023</w:t>
            </w:r>
          </w:p>
        </w:tc>
      </w:tr>
      <w:tr>
        <w:trPr/>
        <w:tc>
          <w:tcPr>
            <w:tcW w:w="2778" w:type="dxa"/>
            <w:tcBorders/>
            <w:vAlign w:val="center"/>
          </w:tcPr>
          <w:p>
            <w:pPr>
              <w:pStyle w:val="TableContents"/>
              <w:widowControl w:val="false"/>
              <w:suppressLineNumbers/>
              <w:bidi w:val="0"/>
              <w:jc w:val="start"/>
              <w:rPr/>
            </w:pPr>
            <w:r>
              <w:rPr/>
              <w:t>Cash &amp; cash equivalents</w:t>
            </w:r>
          </w:p>
        </w:tc>
        <w:tc>
          <w:tcPr>
            <w:tcW w:w="766" w:type="dxa"/>
            <w:tcBorders/>
            <w:vAlign w:val="center"/>
          </w:tcPr>
          <w:p>
            <w:pPr>
              <w:pStyle w:val="TableContents"/>
              <w:widowControl w:val="false"/>
              <w:suppressLineNumbers/>
              <w:bidi w:val="0"/>
              <w:jc w:val="start"/>
              <w:rPr/>
            </w:pPr>
            <w:r>
              <w:rPr/>
              <w:t>25,982</w:t>
            </w:r>
          </w:p>
        </w:tc>
        <w:tc>
          <w:tcPr>
            <w:tcW w:w="811" w:type="dxa"/>
            <w:tcBorders/>
            <w:vAlign w:val="center"/>
          </w:tcPr>
          <w:p>
            <w:pPr>
              <w:pStyle w:val="TableContents"/>
              <w:widowControl w:val="false"/>
              <w:suppressLineNumbers/>
              <w:bidi w:val="0"/>
              <w:jc w:val="start"/>
              <w:rPr/>
            </w:pPr>
            <w:r>
              <w:rPr/>
              <w:t>13,294</w:t>
            </w:r>
          </w:p>
        </w:tc>
      </w:tr>
      <w:tr>
        <w:trPr/>
        <w:tc>
          <w:tcPr>
            <w:tcW w:w="2778" w:type="dxa"/>
            <w:tcBorders/>
            <w:vAlign w:val="center"/>
          </w:tcPr>
          <w:p>
            <w:pPr>
              <w:pStyle w:val="TableContents"/>
              <w:widowControl w:val="false"/>
              <w:suppressLineNumbers/>
              <w:bidi w:val="0"/>
              <w:jc w:val="start"/>
              <w:rPr/>
            </w:pPr>
            <w:r>
              <w:rPr/>
              <w:t>Marketable securities</w:t>
            </w:r>
          </w:p>
        </w:tc>
        <w:tc>
          <w:tcPr>
            <w:tcW w:w="766" w:type="dxa"/>
            <w:tcBorders/>
            <w:vAlign w:val="center"/>
          </w:tcPr>
          <w:p>
            <w:pPr>
              <w:pStyle w:val="TableContents"/>
              <w:widowControl w:val="false"/>
              <w:suppressLineNumbers/>
              <w:bidi w:val="0"/>
              <w:jc w:val="start"/>
              <w:rPr/>
            </w:pPr>
            <w:r>
              <w:rPr/>
              <w:t>6,879</w:t>
            </w:r>
          </w:p>
        </w:tc>
        <w:tc>
          <w:tcPr>
            <w:tcW w:w="811" w:type="dxa"/>
            <w:tcBorders/>
            <w:vAlign w:val="center"/>
          </w:tcPr>
          <w:p>
            <w:pPr>
              <w:pStyle w:val="TableContents"/>
              <w:widowControl w:val="false"/>
              <w:suppressLineNumbers/>
              <w:bidi w:val="0"/>
              <w:jc w:val="start"/>
              <w:rPr/>
            </w:pPr>
            <w:r>
              <w:rPr/>
              <w:t>8,373</w:t>
            </w:r>
          </w:p>
        </w:tc>
      </w:tr>
      <w:tr>
        <w:trPr/>
        <w:tc>
          <w:tcPr>
            <w:tcW w:w="2778" w:type="dxa"/>
            <w:tcBorders/>
            <w:vAlign w:val="center"/>
          </w:tcPr>
          <w:p>
            <w:pPr>
              <w:pStyle w:val="TableContents"/>
              <w:widowControl w:val="false"/>
              <w:suppressLineNumbers/>
              <w:bidi w:val="0"/>
              <w:jc w:val="start"/>
              <w:rPr/>
            </w:pPr>
            <w:r>
              <w:rPr/>
              <w:t>Accounts receivable, net</w:t>
            </w:r>
          </w:p>
        </w:tc>
        <w:tc>
          <w:tcPr>
            <w:tcW w:w="766" w:type="dxa"/>
            <w:tcBorders/>
            <w:vAlign w:val="center"/>
          </w:tcPr>
          <w:p>
            <w:pPr>
              <w:pStyle w:val="TableContents"/>
              <w:widowControl w:val="false"/>
              <w:suppressLineNumbers/>
              <w:bidi w:val="0"/>
              <w:jc w:val="start"/>
              <w:rPr/>
            </w:pPr>
            <w:r>
              <w:rPr/>
              <w:t>9,365</w:t>
            </w:r>
          </w:p>
        </w:tc>
        <w:tc>
          <w:tcPr>
            <w:tcW w:w="811" w:type="dxa"/>
            <w:tcBorders/>
            <w:vAlign w:val="center"/>
          </w:tcPr>
          <w:p>
            <w:pPr>
              <w:pStyle w:val="TableContents"/>
              <w:widowControl w:val="false"/>
              <w:suppressLineNumbers/>
              <w:bidi w:val="0"/>
              <w:jc w:val="start"/>
              <w:rPr/>
            </w:pPr>
            <w:r>
              <w:rPr/>
              <w:t>5,537</w:t>
            </w:r>
          </w:p>
        </w:tc>
      </w:tr>
      <w:tr>
        <w:trPr/>
        <w:tc>
          <w:tcPr>
            <w:tcW w:w="2778" w:type="dxa"/>
            <w:tcBorders/>
            <w:vAlign w:val="center"/>
          </w:tcPr>
          <w:p>
            <w:pPr>
              <w:pStyle w:val="TableContents"/>
              <w:widowControl w:val="false"/>
              <w:suppressLineNumbers/>
              <w:bidi w:val="0"/>
              <w:jc w:val="start"/>
              <w:rPr/>
            </w:pPr>
            <w:r>
              <w:rPr/>
              <w:t>Inventory</w:t>
            </w:r>
          </w:p>
        </w:tc>
        <w:tc>
          <w:tcPr>
            <w:tcW w:w="766" w:type="dxa"/>
            <w:tcBorders/>
            <w:vAlign w:val="center"/>
          </w:tcPr>
          <w:p>
            <w:pPr>
              <w:pStyle w:val="TableContents"/>
              <w:widowControl w:val="false"/>
              <w:suppressLineNumbers/>
              <w:bidi w:val="0"/>
              <w:jc w:val="start"/>
              <w:rPr/>
            </w:pPr>
            <w:r>
              <w:rPr/>
              <w:t>5,221</w:t>
            </w:r>
          </w:p>
        </w:tc>
        <w:tc>
          <w:tcPr>
            <w:tcW w:w="811" w:type="dxa"/>
            <w:tcBorders/>
            <w:vAlign w:val="center"/>
          </w:tcPr>
          <w:p>
            <w:pPr>
              <w:pStyle w:val="TableContents"/>
              <w:widowControl w:val="false"/>
              <w:suppressLineNumbers/>
              <w:bidi w:val="0"/>
              <w:jc w:val="start"/>
              <w:rPr/>
            </w:pPr>
            <w:r>
              <w:rPr/>
              <w:t>3,462</w:t>
            </w:r>
          </w:p>
        </w:tc>
      </w:tr>
      <w:tr>
        <w:trPr/>
        <w:tc>
          <w:tcPr>
            <w:tcW w:w="2778" w:type="dxa"/>
            <w:tcBorders/>
            <w:vAlign w:val="center"/>
          </w:tcPr>
          <w:p>
            <w:pPr>
              <w:pStyle w:val="TableContents"/>
              <w:widowControl w:val="false"/>
              <w:suppressLineNumbers/>
              <w:bidi w:val="0"/>
              <w:jc w:val="start"/>
              <w:rPr/>
            </w:pPr>
            <w:r>
              <w:rPr>
                <w:rStyle w:val="Strong"/>
              </w:rPr>
              <w:t>Total current assets</w:t>
            </w:r>
          </w:p>
        </w:tc>
        <w:tc>
          <w:tcPr>
            <w:tcW w:w="766" w:type="dxa"/>
            <w:tcBorders/>
            <w:vAlign w:val="center"/>
          </w:tcPr>
          <w:p>
            <w:pPr>
              <w:pStyle w:val="TableContents"/>
              <w:widowControl w:val="false"/>
              <w:suppressLineNumbers/>
              <w:bidi w:val="0"/>
              <w:jc w:val="start"/>
              <w:rPr/>
            </w:pPr>
            <w:r>
              <w:rPr>
                <w:rStyle w:val="Strong"/>
              </w:rPr>
              <w:t>45,872</w:t>
            </w:r>
          </w:p>
        </w:tc>
        <w:tc>
          <w:tcPr>
            <w:tcW w:w="811" w:type="dxa"/>
            <w:tcBorders/>
            <w:vAlign w:val="center"/>
          </w:tcPr>
          <w:p>
            <w:pPr>
              <w:pStyle w:val="TableContents"/>
              <w:widowControl w:val="false"/>
              <w:suppressLineNumbers/>
              <w:bidi w:val="0"/>
              <w:jc w:val="start"/>
              <w:rPr/>
            </w:pPr>
            <w:r>
              <w:rPr>
                <w:rStyle w:val="Strong"/>
              </w:rPr>
              <w:t>29,565</w:t>
            </w:r>
          </w:p>
        </w:tc>
      </w:tr>
      <w:tr>
        <w:trPr/>
        <w:tc>
          <w:tcPr>
            <w:tcW w:w="2778" w:type="dxa"/>
            <w:tcBorders/>
            <w:vAlign w:val="center"/>
          </w:tcPr>
          <w:p>
            <w:pPr>
              <w:pStyle w:val="TableContents"/>
              <w:widowControl w:val="false"/>
              <w:suppressLineNumbers/>
              <w:bidi w:val="0"/>
              <w:jc w:val="start"/>
              <w:rPr/>
            </w:pPr>
            <w:r>
              <w:rPr/>
              <w:t>Property &amp; equipment (net)</w:t>
            </w:r>
          </w:p>
        </w:tc>
        <w:tc>
          <w:tcPr>
            <w:tcW w:w="766" w:type="dxa"/>
            <w:tcBorders/>
            <w:vAlign w:val="center"/>
          </w:tcPr>
          <w:p>
            <w:pPr>
              <w:pStyle w:val="TableContents"/>
              <w:widowControl w:val="false"/>
              <w:suppressLineNumbers/>
              <w:bidi w:val="0"/>
              <w:jc w:val="start"/>
              <w:rPr/>
            </w:pPr>
            <w:r>
              <w:rPr/>
              <w:t>10,276</w:t>
            </w:r>
          </w:p>
        </w:tc>
        <w:tc>
          <w:tcPr>
            <w:tcW w:w="811" w:type="dxa"/>
            <w:tcBorders/>
            <w:vAlign w:val="center"/>
          </w:tcPr>
          <w:p>
            <w:pPr>
              <w:pStyle w:val="TableContents"/>
              <w:widowControl w:val="false"/>
              <w:suppressLineNumbers/>
              <w:bidi w:val="0"/>
              <w:jc w:val="start"/>
              <w:rPr/>
            </w:pPr>
            <w:r>
              <w:rPr/>
              <w:t>7,420</w:t>
            </w:r>
          </w:p>
        </w:tc>
      </w:tr>
      <w:tr>
        <w:trPr/>
        <w:tc>
          <w:tcPr>
            <w:tcW w:w="2778" w:type="dxa"/>
            <w:tcBorders/>
            <w:vAlign w:val="center"/>
          </w:tcPr>
          <w:p>
            <w:pPr>
              <w:pStyle w:val="TableContents"/>
              <w:widowControl w:val="false"/>
              <w:suppressLineNumbers/>
              <w:bidi w:val="0"/>
              <w:jc w:val="start"/>
              <w:rPr/>
            </w:pPr>
            <w:r>
              <w:rPr>
                <w:rStyle w:val="Strong"/>
              </w:rPr>
              <w:t>Total assets</w:t>
            </w:r>
          </w:p>
        </w:tc>
        <w:tc>
          <w:tcPr>
            <w:tcW w:w="766" w:type="dxa"/>
            <w:tcBorders/>
            <w:vAlign w:val="center"/>
          </w:tcPr>
          <w:p>
            <w:pPr>
              <w:pStyle w:val="TableContents"/>
              <w:widowControl w:val="false"/>
              <w:suppressLineNumbers/>
              <w:bidi w:val="0"/>
              <w:jc w:val="start"/>
              <w:rPr/>
            </w:pPr>
            <w:r>
              <w:rPr>
                <w:rStyle w:val="Strong"/>
              </w:rPr>
              <w:t>65,472</w:t>
            </w:r>
          </w:p>
        </w:tc>
        <w:tc>
          <w:tcPr>
            <w:tcW w:w="811" w:type="dxa"/>
            <w:tcBorders/>
            <w:vAlign w:val="center"/>
          </w:tcPr>
          <w:p>
            <w:pPr>
              <w:pStyle w:val="TableContents"/>
              <w:widowControl w:val="false"/>
              <w:suppressLineNumbers/>
              <w:bidi w:val="0"/>
              <w:jc w:val="start"/>
              <w:rPr/>
            </w:pPr>
            <w:r>
              <w:rPr>
                <w:rStyle w:val="Strong"/>
              </w:rPr>
              <w:t>41,182</w:t>
            </w:r>
          </w:p>
        </w:tc>
      </w:tr>
      <w:tr>
        <w:trPr/>
        <w:tc>
          <w:tcPr>
            <w:tcW w:w="2778" w:type="dxa"/>
            <w:tcBorders/>
            <w:vAlign w:val="center"/>
          </w:tcPr>
          <w:p>
            <w:pPr>
              <w:pStyle w:val="TableContents"/>
              <w:widowControl w:val="false"/>
              <w:suppressLineNumbers/>
              <w:bidi w:val="0"/>
              <w:jc w:val="start"/>
              <w:rPr/>
            </w:pPr>
            <w:r>
              <w:rPr/>
              <w:t>Current liabilities</w:t>
            </w:r>
          </w:p>
        </w:tc>
        <w:tc>
          <w:tcPr>
            <w:tcW w:w="766" w:type="dxa"/>
            <w:tcBorders/>
            <w:vAlign w:val="center"/>
          </w:tcPr>
          <w:p>
            <w:pPr>
              <w:pStyle w:val="TableContents"/>
              <w:widowControl w:val="false"/>
              <w:suppressLineNumbers/>
              <w:bidi w:val="0"/>
              <w:jc w:val="start"/>
              <w:rPr/>
            </w:pPr>
            <w:r>
              <w:rPr/>
              <w:t>21,988</w:t>
            </w:r>
          </w:p>
        </w:tc>
        <w:tc>
          <w:tcPr>
            <w:tcW w:w="811" w:type="dxa"/>
            <w:tcBorders/>
            <w:vAlign w:val="center"/>
          </w:tcPr>
          <w:p>
            <w:pPr>
              <w:pStyle w:val="TableContents"/>
              <w:widowControl w:val="false"/>
              <w:suppressLineNumbers/>
              <w:bidi w:val="0"/>
              <w:jc w:val="start"/>
              <w:rPr/>
            </w:pPr>
            <w:r>
              <w:rPr/>
              <w:t>15,153</w:t>
            </w:r>
          </w:p>
        </w:tc>
      </w:tr>
      <w:tr>
        <w:trPr/>
        <w:tc>
          <w:tcPr>
            <w:tcW w:w="2778" w:type="dxa"/>
            <w:tcBorders/>
            <w:vAlign w:val="center"/>
          </w:tcPr>
          <w:p>
            <w:pPr>
              <w:pStyle w:val="TableContents"/>
              <w:widowControl w:val="false"/>
              <w:suppressLineNumbers/>
              <w:bidi w:val="0"/>
              <w:jc w:val="start"/>
              <w:rPr/>
            </w:pPr>
            <w:r>
              <w:rPr>
                <w:rStyle w:val="Strong"/>
              </w:rPr>
              <w:t>Total stockholders’ equity</w:t>
            </w:r>
          </w:p>
        </w:tc>
        <w:tc>
          <w:tcPr>
            <w:tcW w:w="766" w:type="dxa"/>
            <w:tcBorders/>
            <w:vAlign w:val="center"/>
          </w:tcPr>
          <w:p>
            <w:pPr>
              <w:pStyle w:val="TableContents"/>
              <w:widowControl w:val="false"/>
              <w:suppressLineNumbers/>
              <w:bidi w:val="0"/>
              <w:jc w:val="start"/>
              <w:rPr/>
            </w:pPr>
            <w:r>
              <w:rPr>
                <w:rStyle w:val="Strong"/>
              </w:rPr>
              <w:t>43,484</w:t>
            </w:r>
          </w:p>
        </w:tc>
        <w:tc>
          <w:tcPr>
            <w:tcW w:w="811" w:type="dxa"/>
            <w:tcBorders/>
            <w:vAlign w:val="center"/>
          </w:tcPr>
          <w:p>
            <w:pPr>
              <w:pStyle w:val="TableContents"/>
              <w:widowControl w:val="false"/>
              <w:suppressLineNumbers/>
              <w:bidi w:val="0"/>
              <w:jc w:val="start"/>
              <w:rPr/>
            </w:pPr>
            <w:r>
              <w:rPr>
                <w:rStyle w:val="Strong"/>
              </w:rPr>
              <w:t>26,029</w:t>
            </w:r>
          </w:p>
        </w:tc>
      </w:tr>
    </w:tbl>
    <w:p>
      <w:pPr>
        <w:pStyle w:val="HorizontalLine"/>
        <w:bidi w:val="0"/>
        <w:jc w:val="start"/>
        <w:rPr/>
      </w:pPr>
      <w:r>
        <w:rPr/>
      </w:r>
    </w:p>
    <w:p>
      <w:pPr>
        <w:pStyle w:val="Heading4"/>
        <w:bidi w:val="0"/>
        <w:jc w:val="start"/>
        <w:rPr/>
      </w:pPr>
      <w:r>
        <w:rPr>
          <w:rStyle w:val="Strong"/>
          <w:b/>
          <w:bCs/>
        </w:rPr>
        <w:t>Consolidated Income Statement</w:t>
      </w:r>
    </w:p>
    <w:tbl>
      <w:tblPr>
        <w:tblW w:w="4136" w:type="dxa"/>
        <w:jc w:val="start"/>
        <w:tblInd w:w="0" w:type="dxa"/>
        <w:tblLayout w:type="fixed"/>
        <w:tblCellMar>
          <w:top w:w="28" w:type="dxa"/>
          <w:start w:w="28" w:type="dxa"/>
          <w:bottom w:w="28" w:type="dxa"/>
          <w:end w:w="28" w:type="dxa"/>
        </w:tblCellMar>
      </w:tblPr>
      <w:tblGrid>
        <w:gridCol w:w="2559"/>
        <w:gridCol w:w="766"/>
        <w:gridCol w:w="811"/>
      </w:tblGrid>
      <w:tr>
        <w:trPr>
          <w:tblHeader w:val="true"/>
        </w:trPr>
        <w:tc>
          <w:tcPr>
            <w:tcW w:w="2559" w:type="dxa"/>
            <w:tcBorders/>
            <w:vAlign w:val="center"/>
          </w:tcPr>
          <w:p>
            <w:pPr>
              <w:pStyle w:val="TableHeading"/>
              <w:suppressLineNumbers/>
              <w:bidi w:val="0"/>
              <w:jc w:val="center"/>
              <w:rPr/>
            </w:pPr>
            <w:r>
              <w:rPr>
                <w:rStyle w:val="Strong"/>
                <w:b/>
                <w:bCs/>
              </w:rPr>
              <w:t>Item</w:t>
            </w:r>
          </w:p>
        </w:tc>
        <w:tc>
          <w:tcPr>
            <w:tcW w:w="766" w:type="dxa"/>
            <w:tcBorders/>
            <w:vAlign w:val="center"/>
          </w:tcPr>
          <w:p>
            <w:pPr>
              <w:pStyle w:val="TableHeading"/>
              <w:suppressLineNumbers/>
              <w:bidi w:val="0"/>
              <w:jc w:val="center"/>
              <w:rPr/>
            </w:pPr>
            <w:r>
              <w:rPr>
                <w:rStyle w:val="Strong"/>
                <w:b/>
                <w:bCs/>
              </w:rPr>
              <w:t>2024</w:t>
            </w:r>
          </w:p>
        </w:tc>
        <w:tc>
          <w:tcPr>
            <w:tcW w:w="811" w:type="dxa"/>
            <w:tcBorders/>
            <w:vAlign w:val="center"/>
          </w:tcPr>
          <w:p>
            <w:pPr>
              <w:pStyle w:val="TableHeading"/>
              <w:suppressLineNumbers/>
              <w:bidi w:val="0"/>
              <w:jc w:val="center"/>
              <w:rPr/>
            </w:pPr>
            <w:r>
              <w:rPr>
                <w:rStyle w:val="Strong"/>
                <w:b/>
                <w:bCs/>
              </w:rPr>
              <w:t>2023</w:t>
            </w:r>
          </w:p>
        </w:tc>
      </w:tr>
      <w:tr>
        <w:trPr/>
        <w:tc>
          <w:tcPr>
            <w:tcW w:w="2559" w:type="dxa"/>
            <w:tcBorders/>
            <w:vAlign w:val="center"/>
          </w:tcPr>
          <w:p>
            <w:pPr>
              <w:pStyle w:val="TableContents"/>
              <w:widowControl w:val="false"/>
              <w:suppressLineNumbers/>
              <w:bidi w:val="0"/>
              <w:jc w:val="start"/>
              <w:rPr/>
            </w:pPr>
            <w:r>
              <w:rPr/>
              <w:t>Revenue</w:t>
            </w:r>
          </w:p>
        </w:tc>
        <w:tc>
          <w:tcPr>
            <w:tcW w:w="766" w:type="dxa"/>
            <w:tcBorders/>
            <w:vAlign w:val="center"/>
          </w:tcPr>
          <w:p>
            <w:pPr>
              <w:pStyle w:val="TableContents"/>
              <w:widowControl w:val="false"/>
              <w:suppressLineNumbers/>
              <w:bidi w:val="0"/>
              <w:jc w:val="start"/>
              <w:rPr/>
            </w:pPr>
            <w:r>
              <w:rPr/>
              <w:t>60,922</w:t>
            </w:r>
          </w:p>
        </w:tc>
        <w:tc>
          <w:tcPr>
            <w:tcW w:w="811" w:type="dxa"/>
            <w:tcBorders/>
            <w:vAlign w:val="center"/>
          </w:tcPr>
          <w:p>
            <w:pPr>
              <w:pStyle w:val="TableContents"/>
              <w:widowControl w:val="false"/>
              <w:suppressLineNumbers/>
              <w:bidi w:val="0"/>
              <w:jc w:val="start"/>
              <w:rPr/>
            </w:pPr>
            <w:r>
              <w:rPr/>
              <w:t>26,974</w:t>
            </w:r>
          </w:p>
        </w:tc>
      </w:tr>
      <w:tr>
        <w:trPr/>
        <w:tc>
          <w:tcPr>
            <w:tcW w:w="2559" w:type="dxa"/>
            <w:tcBorders/>
            <w:vAlign w:val="center"/>
          </w:tcPr>
          <w:p>
            <w:pPr>
              <w:pStyle w:val="TableContents"/>
              <w:widowControl w:val="false"/>
              <w:suppressLineNumbers/>
              <w:bidi w:val="0"/>
              <w:jc w:val="start"/>
              <w:rPr/>
            </w:pPr>
            <w:r>
              <w:rPr/>
              <w:t>Cost of revenue</w:t>
            </w:r>
          </w:p>
        </w:tc>
        <w:tc>
          <w:tcPr>
            <w:tcW w:w="766" w:type="dxa"/>
            <w:tcBorders/>
            <w:vAlign w:val="center"/>
          </w:tcPr>
          <w:p>
            <w:pPr>
              <w:pStyle w:val="TableContents"/>
              <w:widowControl w:val="false"/>
              <w:suppressLineNumbers/>
              <w:bidi w:val="0"/>
              <w:jc w:val="start"/>
              <w:rPr/>
            </w:pPr>
            <w:r>
              <w:rPr/>
              <w:t>16,637</w:t>
            </w:r>
          </w:p>
        </w:tc>
        <w:tc>
          <w:tcPr>
            <w:tcW w:w="811" w:type="dxa"/>
            <w:tcBorders/>
            <w:vAlign w:val="center"/>
          </w:tcPr>
          <w:p>
            <w:pPr>
              <w:pStyle w:val="TableContents"/>
              <w:widowControl w:val="false"/>
              <w:suppressLineNumbers/>
              <w:bidi w:val="0"/>
              <w:jc w:val="start"/>
              <w:rPr/>
            </w:pPr>
            <w:r>
              <w:rPr/>
              <w:t>10,247</w:t>
            </w:r>
          </w:p>
        </w:tc>
      </w:tr>
      <w:tr>
        <w:trPr/>
        <w:tc>
          <w:tcPr>
            <w:tcW w:w="2559" w:type="dxa"/>
            <w:tcBorders/>
            <w:vAlign w:val="center"/>
          </w:tcPr>
          <w:p>
            <w:pPr>
              <w:pStyle w:val="TableContents"/>
              <w:widowControl w:val="false"/>
              <w:suppressLineNumbers/>
              <w:bidi w:val="0"/>
              <w:jc w:val="start"/>
              <w:rPr/>
            </w:pPr>
            <w:r>
              <w:rPr/>
              <w:t>Research &amp; development</w:t>
            </w:r>
          </w:p>
        </w:tc>
        <w:tc>
          <w:tcPr>
            <w:tcW w:w="766" w:type="dxa"/>
            <w:tcBorders/>
            <w:vAlign w:val="center"/>
          </w:tcPr>
          <w:p>
            <w:pPr>
              <w:pStyle w:val="TableContents"/>
              <w:widowControl w:val="false"/>
              <w:suppressLineNumbers/>
              <w:bidi w:val="0"/>
              <w:jc w:val="start"/>
              <w:rPr/>
            </w:pPr>
            <w:r>
              <w:rPr/>
              <w:t>8,675</w:t>
            </w:r>
          </w:p>
        </w:tc>
        <w:tc>
          <w:tcPr>
            <w:tcW w:w="811" w:type="dxa"/>
            <w:tcBorders/>
            <w:vAlign w:val="center"/>
          </w:tcPr>
          <w:p>
            <w:pPr>
              <w:pStyle w:val="TableContents"/>
              <w:widowControl w:val="false"/>
              <w:suppressLineNumbers/>
              <w:bidi w:val="0"/>
              <w:jc w:val="start"/>
              <w:rPr/>
            </w:pPr>
            <w:r>
              <w:rPr/>
              <w:t>7,339</w:t>
            </w:r>
          </w:p>
        </w:tc>
      </w:tr>
      <w:tr>
        <w:trPr/>
        <w:tc>
          <w:tcPr>
            <w:tcW w:w="2559" w:type="dxa"/>
            <w:tcBorders/>
            <w:vAlign w:val="center"/>
          </w:tcPr>
          <w:p>
            <w:pPr>
              <w:pStyle w:val="TableContents"/>
              <w:widowControl w:val="false"/>
              <w:suppressLineNumbers/>
              <w:bidi w:val="0"/>
              <w:jc w:val="start"/>
              <w:rPr/>
            </w:pPr>
            <w:r>
              <w:rPr/>
              <w:t>Marketing &amp; sales</w:t>
            </w:r>
          </w:p>
        </w:tc>
        <w:tc>
          <w:tcPr>
            <w:tcW w:w="766" w:type="dxa"/>
            <w:tcBorders/>
            <w:vAlign w:val="center"/>
          </w:tcPr>
          <w:p>
            <w:pPr>
              <w:pStyle w:val="TableContents"/>
              <w:widowControl w:val="false"/>
              <w:suppressLineNumbers/>
              <w:bidi w:val="0"/>
              <w:jc w:val="start"/>
              <w:rPr/>
            </w:pPr>
            <w:r>
              <w:rPr/>
              <w:t>3,541</w:t>
            </w:r>
          </w:p>
        </w:tc>
        <w:tc>
          <w:tcPr>
            <w:tcW w:w="811" w:type="dxa"/>
            <w:tcBorders/>
            <w:vAlign w:val="center"/>
          </w:tcPr>
          <w:p>
            <w:pPr>
              <w:pStyle w:val="TableContents"/>
              <w:widowControl w:val="false"/>
              <w:suppressLineNumbers/>
              <w:bidi w:val="0"/>
              <w:jc w:val="start"/>
              <w:rPr/>
            </w:pPr>
            <w:r>
              <w:rPr/>
              <w:t>2,918</w:t>
            </w:r>
          </w:p>
        </w:tc>
      </w:tr>
      <w:tr>
        <w:trPr/>
        <w:tc>
          <w:tcPr>
            <w:tcW w:w="2559" w:type="dxa"/>
            <w:tcBorders/>
            <w:vAlign w:val="center"/>
          </w:tcPr>
          <w:p>
            <w:pPr>
              <w:pStyle w:val="TableContents"/>
              <w:widowControl w:val="false"/>
              <w:suppressLineNumbers/>
              <w:bidi w:val="0"/>
              <w:jc w:val="start"/>
              <w:rPr/>
            </w:pPr>
            <w:r>
              <w:rPr/>
              <w:t>General &amp; administrative</w:t>
            </w:r>
          </w:p>
        </w:tc>
        <w:tc>
          <w:tcPr>
            <w:tcW w:w="766" w:type="dxa"/>
            <w:tcBorders/>
            <w:vAlign w:val="center"/>
          </w:tcPr>
          <w:p>
            <w:pPr>
              <w:pStyle w:val="TableContents"/>
              <w:widowControl w:val="false"/>
              <w:suppressLineNumbers/>
              <w:bidi w:val="0"/>
              <w:jc w:val="start"/>
              <w:rPr/>
            </w:pPr>
            <w:r>
              <w:rPr/>
              <w:t>1,742</w:t>
            </w:r>
          </w:p>
        </w:tc>
        <w:tc>
          <w:tcPr>
            <w:tcW w:w="811" w:type="dxa"/>
            <w:tcBorders/>
            <w:vAlign w:val="center"/>
          </w:tcPr>
          <w:p>
            <w:pPr>
              <w:pStyle w:val="TableContents"/>
              <w:widowControl w:val="false"/>
              <w:suppressLineNumbers/>
              <w:bidi w:val="0"/>
              <w:jc w:val="start"/>
              <w:rPr/>
            </w:pPr>
            <w:r>
              <w:rPr/>
              <w:t>1,461</w:t>
            </w:r>
          </w:p>
        </w:tc>
      </w:tr>
      <w:tr>
        <w:trPr/>
        <w:tc>
          <w:tcPr>
            <w:tcW w:w="2559" w:type="dxa"/>
            <w:tcBorders/>
            <w:vAlign w:val="center"/>
          </w:tcPr>
          <w:p>
            <w:pPr>
              <w:pStyle w:val="TableContents"/>
              <w:widowControl w:val="false"/>
              <w:suppressLineNumbers/>
              <w:bidi w:val="0"/>
              <w:jc w:val="start"/>
              <w:rPr/>
            </w:pPr>
            <w:r>
              <w:rPr>
                <w:rStyle w:val="Strong"/>
              </w:rPr>
              <w:t>Total costs &amp; expenses</w:t>
            </w:r>
          </w:p>
        </w:tc>
        <w:tc>
          <w:tcPr>
            <w:tcW w:w="766" w:type="dxa"/>
            <w:tcBorders/>
            <w:vAlign w:val="center"/>
          </w:tcPr>
          <w:p>
            <w:pPr>
              <w:pStyle w:val="TableContents"/>
              <w:widowControl w:val="false"/>
              <w:suppressLineNumbers/>
              <w:bidi w:val="0"/>
              <w:jc w:val="start"/>
              <w:rPr/>
            </w:pPr>
            <w:r>
              <w:rPr>
                <w:rStyle w:val="Strong"/>
              </w:rPr>
              <w:t>30,595</w:t>
            </w:r>
          </w:p>
        </w:tc>
        <w:tc>
          <w:tcPr>
            <w:tcW w:w="811" w:type="dxa"/>
            <w:tcBorders/>
            <w:vAlign w:val="center"/>
          </w:tcPr>
          <w:p>
            <w:pPr>
              <w:pStyle w:val="TableContents"/>
              <w:widowControl w:val="false"/>
              <w:suppressLineNumbers/>
              <w:bidi w:val="0"/>
              <w:jc w:val="start"/>
              <w:rPr/>
            </w:pPr>
            <w:r>
              <w:rPr>
                <w:rStyle w:val="Strong"/>
              </w:rPr>
              <w:t>21,965</w:t>
            </w:r>
          </w:p>
        </w:tc>
      </w:tr>
      <w:tr>
        <w:trPr/>
        <w:tc>
          <w:tcPr>
            <w:tcW w:w="2559" w:type="dxa"/>
            <w:tcBorders/>
            <w:vAlign w:val="center"/>
          </w:tcPr>
          <w:p>
            <w:pPr>
              <w:pStyle w:val="TableContents"/>
              <w:widowControl w:val="false"/>
              <w:suppressLineNumbers/>
              <w:bidi w:val="0"/>
              <w:jc w:val="start"/>
              <w:rPr/>
            </w:pPr>
            <w:r>
              <w:rPr>
                <w:rStyle w:val="Strong"/>
              </w:rPr>
              <w:t>Operating income</w:t>
            </w:r>
          </w:p>
        </w:tc>
        <w:tc>
          <w:tcPr>
            <w:tcW w:w="766" w:type="dxa"/>
            <w:tcBorders/>
            <w:vAlign w:val="center"/>
          </w:tcPr>
          <w:p>
            <w:pPr>
              <w:pStyle w:val="TableContents"/>
              <w:widowControl w:val="false"/>
              <w:suppressLineNumbers/>
              <w:bidi w:val="0"/>
              <w:jc w:val="start"/>
              <w:rPr/>
            </w:pPr>
            <w:r>
              <w:rPr>
                <w:rStyle w:val="Strong"/>
              </w:rPr>
              <w:t>30,327</w:t>
            </w:r>
          </w:p>
        </w:tc>
        <w:tc>
          <w:tcPr>
            <w:tcW w:w="811" w:type="dxa"/>
            <w:tcBorders/>
            <w:vAlign w:val="center"/>
          </w:tcPr>
          <w:p>
            <w:pPr>
              <w:pStyle w:val="TableContents"/>
              <w:widowControl w:val="false"/>
              <w:suppressLineNumbers/>
              <w:bidi w:val="0"/>
              <w:jc w:val="start"/>
              <w:rPr/>
            </w:pPr>
            <w:r>
              <w:rPr>
                <w:rStyle w:val="Strong"/>
              </w:rPr>
              <w:t>5,009</w:t>
            </w:r>
          </w:p>
        </w:tc>
      </w:tr>
      <w:tr>
        <w:trPr/>
        <w:tc>
          <w:tcPr>
            <w:tcW w:w="2559" w:type="dxa"/>
            <w:tcBorders/>
            <w:vAlign w:val="center"/>
          </w:tcPr>
          <w:p>
            <w:pPr>
              <w:pStyle w:val="TableContents"/>
              <w:widowControl w:val="false"/>
              <w:suppressLineNumbers/>
              <w:bidi w:val="0"/>
              <w:jc w:val="start"/>
              <w:rPr/>
            </w:pPr>
            <w:r>
              <w:rPr>
                <w:rStyle w:val="Strong"/>
              </w:rPr>
              <w:t>Net income</w:t>
            </w:r>
          </w:p>
        </w:tc>
        <w:tc>
          <w:tcPr>
            <w:tcW w:w="766" w:type="dxa"/>
            <w:tcBorders/>
            <w:vAlign w:val="center"/>
          </w:tcPr>
          <w:p>
            <w:pPr>
              <w:pStyle w:val="TableContents"/>
              <w:widowControl w:val="false"/>
              <w:suppressLineNumbers/>
              <w:bidi w:val="0"/>
              <w:jc w:val="start"/>
              <w:rPr/>
            </w:pPr>
            <w:r>
              <w:rPr>
                <w:rStyle w:val="Strong"/>
              </w:rPr>
              <w:t>29,760</w:t>
            </w:r>
          </w:p>
        </w:tc>
        <w:tc>
          <w:tcPr>
            <w:tcW w:w="811" w:type="dxa"/>
            <w:tcBorders/>
            <w:vAlign w:val="center"/>
          </w:tcPr>
          <w:p>
            <w:pPr>
              <w:pStyle w:val="TableContents"/>
              <w:widowControl w:val="false"/>
              <w:suppressLineNumbers/>
              <w:bidi w:val="0"/>
              <w:jc w:val="start"/>
              <w:rPr/>
            </w:pPr>
            <w:r>
              <w:rPr>
                <w:rStyle w:val="Strong"/>
              </w:rPr>
              <w:t>4,368</w:t>
            </w:r>
          </w:p>
        </w:tc>
      </w:tr>
    </w:tbl>
    <w:p>
      <w:pPr>
        <w:pStyle w:val="HorizontalLine"/>
        <w:bidi w:val="0"/>
        <w:jc w:val="start"/>
        <w:rPr/>
      </w:pPr>
      <w:r>
        <w:rPr/>
      </w:r>
    </w:p>
    <w:p>
      <w:pPr>
        <w:pStyle w:val="Heading3"/>
        <w:bidi w:val="0"/>
        <w:jc w:val="start"/>
        <w:rPr/>
      </w:pPr>
      <w:r>
        <w:rPr>
          <w:rStyle w:val="Strong"/>
          <w:b/>
          <w:bCs/>
        </w:rPr>
        <w:t>5. Financial Analysis</w:t>
      </w:r>
    </w:p>
    <w:tbl>
      <w:tblPr>
        <w:tblW w:w="9638" w:type="dxa"/>
        <w:jc w:val="start"/>
        <w:tblInd w:w="0" w:type="dxa"/>
        <w:tblLayout w:type="fixed"/>
        <w:tblCellMar>
          <w:top w:w="28" w:type="dxa"/>
          <w:start w:w="28" w:type="dxa"/>
          <w:bottom w:w="28" w:type="dxa"/>
          <w:end w:w="28" w:type="dxa"/>
        </w:tblCellMar>
      </w:tblPr>
      <w:tblGrid>
        <w:gridCol w:w="2338"/>
        <w:gridCol w:w="2859"/>
        <w:gridCol w:w="1652"/>
        <w:gridCol w:w="2789"/>
      </w:tblGrid>
      <w:tr>
        <w:trPr>
          <w:tblHeader w:val="true"/>
        </w:trPr>
        <w:tc>
          <w:tcPr>
            <w:tcW w:w="2338" w:type="dxa"/>
            <w:tcBorders/>
            <w:vAlign w:val="center"/>
          </w:tcPr>
          <w:p>
            <w:pPr>
              <w:pStyle w:val="TableHeading"/>
              <w:suppressLineNumbers/>
              <w:bidi w:val="0"/>
              <w:jc w:val="center"/>
              <w:rPr/>
            </w:pPr>
            <w:r>
              <w:rPr>
                <w:rStyle w:val="Strong"/>
                <w:b/>
                <w:bCs/>
              </w:rPr>
              <w:t>Metric</w:t>
            </w:r>
          </w:p>
        </w:tc>
        <w:tc>
          <w:tcPr>
            <w:tcW w:w="2859" w:type="dxa"/>
            <w:tcBorders/>
            <w:vAlign w:val="center"/>
          </w:tcPr>
          <w:p>
            <w:pPr>
              <w:pStyle w:val="TableHeading"/>
              <w:suppressLineNumbers/>
              <w:bidi w:val="0"/>
              <w:jc w:val="center"/>
              <w:rPr/>
            </w:pPr>
            <w:r>
              <w:rPr>
                <w:rStyle w:val="Strong"/>
                <w:b/>
                <w:bCs/>
              </w:rPr>
              <w:t>Formula / Description</w:t>
            </w:r>
          </w:p>
        </w:tc>
        <w:tc>
          <w:tcPr>
            <w:tcW w:w="1652" w:type="dxa"/>
            <w:tcBorders/>
            <w:vAlign w:val="center"/>
          </w:tcPr>
          <w:p>
            <w:pPr>
              <w:pStyle w:val="TableHeading"/>
              <w:suppressLineNumbers/>
              <w:bidi w:val="0"/>
              <w:jc w:val="center"/>
              <w:rPr/>
            </w:pPr>
            <w:r>
              <w:rPr>
                <w:rStyle w:val="Strong"/>
                <w:b/>
                <w:bCs/>
              </w:rPr>
              <w:t>Result (FY 2024)</w:t>
            </w:r>
          </w:p>
        </w:tc>
        <w:tc>
          <w:tcPr>
            <w:tcW w:w="2789" w:type="dxa"/>
            <w:tcBorders/>
            <w:vAlign w:val="center"/>
          </w:tcPr>
          <w:p>
            <w:pPr>
              <w:pStyle w:val="TableHeading"/>
              <w:suppressLineNumbers/>
              <w:bidi w:val="0"/>
              <w:jc w:val="center"/>
              <w:rPr/>
            </w:pPr>
            <w:r>
              <w:rPr>
                <w:rStyle w:val="Strong"/>
                <w:b/>
                <w:bCs/>
              </w:rPr>
              <w:t>Interpretation</w:t>
            </w:r>
          </w:p>
        </w:tc>
      </w:tr>
      <w:tr>
        <w:trPr/>
        <w:tc>
          <w:tcPr>
            <w:tcW w:w="2338" w:type="dxa"/>
            <w:tcBorders/>
            <w:vAlign w:val="center"/>
          </w:tcPr>
          <w:p>
            <w:pPr>
              <w:pStyle w:val="TableContents"/>
              <w:widowControl w:val="false"/>
              <w:suppressLineNumbers/>
              <w:bidi w:val="0"/>
              <w:jc w:val="start"/>
              <w:rPr/>
            </w:pPr>
            <w:r>
              <w:rPr>
                <w:rStyle w:val="Strong"/>
              </w:rPr>
              <w:t>Working Capital</w:t>
            </w:r>
          </w:p>
        </w:tc>
        <w:tc>
          <w:tcPr>
            <w:tcW w:w="2859" w:type="dxa"/>
            <w:tcBorders/>
            <w:vAlign w:val="center"/>
          </w:tcPr>
          <w:p>
            <w:pPr>
              <w:pStyle w:val="TableContents"/>
              <w:widowControl w:val="false"/>
              <w:suppressLineNumbers/>
              <w:bidi w:val="0"/>
              <w:jc w:val="start"/>
              <w:rPr/>
            </w:pPr>
            <w:r>
              <w:rPr/>
              <w:t>Current Assets − Current Liabilities</w:t>
            </w:r>
          </w:p>
        </w:tc>
        <w:tc>
          <w:tcPr>
            <w:tcW w:w="1652" w:type="dxa"/>
            <w:tcBorders/>
            <w:vAlign w:val="center"/>
          </w:tcPr>
          <w:p>
            <w:pPr>
              <w:pStyle w:val="TableContents"/>
              <w:widowControl w:val="false"/>
              <w:suppressLineNumbers/>
              <w:bidi w:val="0"/>
              <w:jc w:val="start"/>
              <w:rPr/>
            </w:pPr>
            <w:r>
              <w:rPr/>
              <w:t>23,884 million USD</w:t>
            </w:r>
          </w:p>
        </w:tc>
        <w:tc>
          <w:tcPr>
            <w:tcW w:w="2789" w:type="dxa"/>
            <w:tcBorders/>
            <w:vAlign w:val="center"/>
          </w:tcPr>
          <w:p>
            <w:pPr>
              <w:pStyle w:val="TableContents"/>
              <w:widowControl w:val="false"/>
              <w:suppressLineNumbers/>
              <w:bidi w:val="0"/>
              <w:jc w:val="start"/>
              <w:rPr/>
            </w:pPr>
            <w:r>
              <w:rPr/>
              <w:t>Strong short-term solvency</w:t>
            </w:r>
          </w:p>
        </w:tc>
      </w:tr>
      <w:tr>
        <w:trPr/>
        <w:tc>
          <w:tcPr>
            <w:tcW w:w="2338" w:type="dxa"/>
            <w:tcBorders/>
            <w:vAlign w:val="center"/>
          </w:tcPr>
          <w:p>
            <w:pPr>
              <w:pStyle w:val="TableContents"/>
              <w:widowControl w:val="false"/>
              <w:suppressLineNumbers/>
              <w:bidi w:val="0"/>
              <w:jc w:val="start"/>
              <w:rPr/>
            </w:pPr>
            <w:r>
              <w:rPr>
                <w:rStyle w:val="Strong"/>
              </w:rPr>
              <w:t>Current Ratio</w:t>
            </w:r>
          </w:p>
        </w:tc>
        <w:tc>
          <w:tcPr>
            <w:tcW w:w="2859" w:type="dxa"/>
            <w:tcBorders/>
            <w:vAlign w:val="center"/>
          </w:tcPr>
          <w:p>
            <w:pPr>
              <w:pStyle w:val="TableContents"/>
              <w:widowControl w:val="false"/>
              <w:suppressLineNumbers/>
              <w:bidi w:val="0"/>
              <w:jc w:val="start"/>
              <w:rPr/>
            </w:pPr>
            <w:r>
              <w:rPr/>
              <w:t>Current Assets ÷ Current Liabilities</w:t>
            </w:r>
          </w:p>
        </w:tc>
        <w:tc>
          <w:tcPr>
            <w:tcW w:w="1652" w:type="dxa"/>
            <w:tcBorders/>
            <w:vAlign w:val="center"/>
          </w:tcPr>
          <w:p>
            <w:pPr>
              <w:pStyle w:val="TableContents"/>
              <w:widowControl w:val="false"/>
              <w:suppressLineNumbers/>
              <w:bidi w:val="0"/>
              <w:jc w:val="start"/>
              <w:rPr/>
            </w:pPr>
            <w:r>
              <w:rPr/>
              <w:t>2.09</w:t>
            </w:r>
          </w:p>
        </w:tc>
        <w:tc>
          <w:tcPr>
            <w:tcW w:w="2789" w:type="dxa"/>
            <w:tcBorders/>
            <w:vAlign w:val="center"/>
          </w:tcPr>
          <w:p>
            <w:pPr>
              <w:pStyle w:val="TableContents"/>
              <w:widowControl w:val="false"/>
              <w:suppressLineNumbers/>
              <w:bidi w:val="0"/>
              <w:jc w:val="start"/>
              <w:rPr/>
            </w:pPr>
            <w:r>
              <w:rPr/>
              <w:t>Excellent liquidity position</w:t>
            </w:r>
          </w:p>
        </w:tc>
      </w:tr>
      <w:tr>
        <w:trPr/>
        <w:tc>
          <w:tcPr>
            <w:tcW w:w="2338" w:type="dxa"/>
            <w:tcBorders/>
            <w:vAlign w:val="center"/>
          </w:tcPr>
          <w:p>
            <w:pPr>
              <w:pStyle w:val="TableContents"/>
              <w:widowControl w:val="false"/>
              <w:suppressLineNumbers/>
              <w:bidi w:val="0"/>
              <w:jc w:val="start"/>
              <w:rPr/>
            </w:pPr>
            <w:r>
              <w:rPr>
                <w:rStyle w:val="Strong"/>
              </w:rPr>
              <w:t>Debt-to-Equity</w:t>
            </w:r>
          </w:p>
        </w:tc>
        <w:tc>
          <w:tcPr>
            <w:tcW w:w="2859" w:type="dxa"/>
            <w:tcBorders/>
            <w:vAlign w:val="center"/>
          </w:tcPr>
          <w:p>
            <w:pPr>
              <w:pStyle w:val="TableContents"/>
              <w:widowControl w:val="false"/>
              <w:suppressLineNumbers/>
              <w:bidi w:val="0"/>
              <w:jc w:val="start"/>
              <w:rPr/>
            </w:pPr>
            <w:r>
              <w:rPr/>
              <w:t>Liabilities ÷ Equity</w:t>
            </w:r>
          </w:p>
        </w:tc>
        <w:tc>
          <w:tcPr>
            <w:tcW w:w="1652" w:type="dxa"/>
            <w:tcBorders/>
            <w:vAlign w:val="center"/>
          </w:tcPr>
          <w:p>
            <w:pPr>
              <w:pStyle w:val="TableContents"/>
              <w:widowControl w:val="false"/>
              <w:suppressLineNumbers/>
              <w:bidi w:val="0"/>
              <w:jc w:val="start"/>
              <w:rPr/>
            </w:pPr>
            <w:r>
              <w:rPr/>
              <w:t>0.50</w:t>
            </w:r>
          </w:p>
        </w:tc>
        <w:tc>
          <w:tcPr>
            <w:tcW w:w="2789" w:type="dxa"/>
            <w:tcBorders/>
            <w:vAlign w:val="center"/>
          </w:tcPr>
          <w:p>
            <w:pPr>
              <w:pStyle w:val="TableContents"/>
              <w:widowControl w:val="false"/>
              <w:suppressLineNumbers/>
              <w:bidi w:val="0"/>
              <w:jc w:val="start"/>
              <w:rPr/>
            </w:pPr>
            <w:r>
              <w:rPr/>
              <w:t>Moderate leverage, safe structure</w:t>
            </w:r>
          </w:p>
        </w:tc>
      </w:tr>
      <w:tr>
        <w:trPr>
          <w:trHeight w:val="88" w:hRule="atLeast"/>
        </w:trPr>
        <w:tc>
          <w:tcPr>
            <w:tcW w:w="2338" w:type="dxa"/>
            <w:tcBorders/>
            <w:vAlign w:val="center"/>
          </w:tcPr>
          <w:p>
            <w:pPr>
              <w:pStyle w:val="TableContents"/>
              <w:widowControl w:val="false"/>
              <w:suppressLineNumbers/>
              <w:bidi w:val="0"/>
              <w:jc w:val="start"/>
              <w:rPr/>
            </w:pPr>
            <w:r>
              <w:rPr>
                <w:rStyle w:val="Strong"/>
              </w:rPr>
              <w:t>Net Profit Margin</w:t>
            </w:r>
          </w:p>
        </w:tc>
        <w:tc>
          <w:tcPr>
            <w:tcW w:w="2859" w:type="dxa"/>
            <w:tcBorders/>
            <w:vAlign w:val="center"/>
          </w:tcPr>
          <w:p>
            <w:pPr>
              <w:pStyle w:val="TableContents"/>
              <w:widowControl w:val="false"/>
              <w:suppressLineNumbers/>
              <w:bidi w:val="0"/>
              <w:jc w:val="start"/>
              <w:rPr/>
            </w:pPr>
            <w:r>
              <w:rPr/>
              <w:t>Net Income ÷ Revenue</w:t>
            </w:r>
          </w:p>
        </w:tc>
        <w:tc>
          <w:tcPr>
            <w:tcW w:w="1652" w:type="dxa"/>
            <w:tcBorders/>
            <w:vAlign w:val="center"/>
          </w:tcPr>
          <w:p>
            <w:pPr>
              <w:pStyle w:val="TableContents"/>
              <w:widowControl w:val="false"/>
              <w:suppressLineNumbers/>
              <w:bidi w:val="0"/>
              <w:jc w:val="start"/>
              <w:rPr/>
            </w:pPr>
            <w:r>
              <w:rPr/>
              <w:t>48.8%</w:t>
            </w:r>
          </w:p>
        </w:tc>
        <w:tc>
          <w:tcPr>
            <w:tcW w:w="2789" w:type="dxa"/>
            <w:tcBorders/>
            <w:vAlign w:val="center"/>
          </w:tcPr>
          <w:p>
            <w:pPr>
              <w:pStyle w:val="TableContents"/>
              <w:widowControl w:val="false"/>
              <w:suppressLineNumbers/>
              <w:bidi w:val="0"/>
              <w:jc w:val="start"/>
              <w:rPr/>
            </w:pPr>
            <w:r>
              <w:rPr/>
              <w:t>Exceptional profitability</w:t>
            </w:r>
          </w:p>
        </w:tc>
      </w:tr>
      <w:tr>
        <w:trPr/>
        <w:tc>
          <w:tcPr>
            <w:tcW w:w="2338" w:type="dxa"/>
            <w:tcBorders/>
            <w:vAlign w:val="center"/>
          </w:tcPr>
          <w:p>
            <w:pPr>
              <w:pStyle w:val="TableContents"/>
              <w:widowControl w:val="false"/>
              <w:suppressLineNumbers/>
              <w:bidi w:val="0"/>
              <w:jc w:val="start"/>
              <w:rPr/>
            </w:pPr>
            <w:r>
              <w:rPr>
                <w:rStyle w:val="Strong"/>
              </w:rPr>
              <w:t>Return on Equity (ROE)</w:t>
            </w:r>
          </w:p>
        </w:tc>
        <w:tc>
          <w:tcPr>
            <w:tcW w:w="2859" w:type="dxa"/>
            <w:tcBorders/>
            <w:vAlign w:val="center"/>
          </w:tcPr>
          <w:p>
            <w:pPr>
              <w:pStyle w:val="TableContents"/>
              <w:widowControl w:val="false"/>
              <w:suppressLineNumbers/>
              <w:bidi w:val="0"/>
              <w:jc w:val="start"/>
              <w:rPr/>
            </w:pPr>
            <w:r>
              <w:rPr/>
              <w:t>Net Income ÷ Equity</w:t>
            </w:r>
          </w:p>
        </w:tc>
        <w:tc>
          <w:tcPr>
            <w:tcW w:w="1652" w:type="dxa"/>
            <w:tcBorders/>
            <w:vAlign w:val="center"/>
          </w:tcPr>
          <w:p>
            <w:pPr>
              <w:pStyle w:val="TableContents"/>
              <w:widowControl w:val="false"/>
              <w:suppressLineNumbers/>
              <w:bidi w:val="0"/>
              <w:jc w:val="start"/>
              <w:rPr/>
            </w:pPr>
            <w:r>
              <w:rPr/>
              <w:t>68.4%</w:t>
            </w:r>
          </w:p>
        </w:tc>
        <w:tc>
          <w:tcPr>
            <w:tcW w:w="2789" w:type="dxa"/>
            <w:tcBorders/>
            <w:vAlign w:val="center"/>
          </w:tcPr>
          <w:p>
            <w:pPr>
              <w:pStyle w:val="TableContents"/>
              <w:widowControl w:val="false"/>
              <w:suppressLineNumbers/>
              <w:bidi w:val="0"/>
              <w:jc w:val="start"/>
              <w:rPr/>
            </w:pPr>
            <w:r>
              <w:rPr/>
              <w:t>Highly efficient capital use</w:t>
            </w:r>
          </w:p>
        </w:tc>
      </w:tr>
      <w:tr>
        <w:trPr/>
        <w:tc>
          <w:tcPr>
            <w:tcW w:w="2338" w:type="dxa"/>
            <w:tcBorders/>
            <w:vAlign w:val="center"/>
          </w:tcPr>
          <w:p>
            <w:pPr>
              <w:pStyle w:val="TableContents"/>
              <w:widowControl w:val="false"/>
              <w:suppressLineNumbers/>
              <w:bidi w:val="0"/>
              <w:jc w:val="start"/>
              <w:rPr/>
            </w:pPr>
            <w:r>
              <w:rPr>
                <w:rStyle w:val="Strong"/>
              </w:rPr>
              <w:t>Asset Turnover</w:t>
            </w:r>
          </w:p>
        </w:tc>
        <w:tc>
          <w:tcPr>
            <w:tcW w:w="2859" w:type="dxa"/>
            <w:tcBorders/>
            <w:vAlign w:val="center"/>
          </w:tcPr>
          <w:p>
            <w:pPr>
              <w:pStyle w:val="TableContents"/>
              <w:widowControl w:val="false"/>
              <w:suppressLineNumbers/>
              <w:bidi w:val="0"/>
              <w:jc w:val="start"/>
              <w:rPr/>
            </w:pPr>
            <w:r>
              <w:rPr/>
              <w:t>Revenue ÷ Total Assets</w:t>
            </w:r>
          </w:p>
        </w:tc>
        <w:tc>
          <w:tcPr>
            <w:tcW w:w="1652" w:type="dxa"/>
            <w:tcBorders/>
            <w:vAlign w:val="center"/>
          </w:tcPr>
          <w:p>
            <w:pPr>
              <w:pStyle w:val="TableContents"/>
              <w:widowControl w:val="false"/>
              <w:suppressLineNumbers/>
              <w:bidi w:val="0"/>
              <w:jc w:val="start"/>
              <w:rPr/>
            </w:pPr>
            <w:r>
              <w:rPr/>
              <w:t>0.93</w:t>
            </w:r>
          </w:p>
        </w:tc>
        <w:tc>
          <w:tcPr>
            <w:tcW w:w="2789" w:type="dxa"/>
            <w:tcBorders/>
            <w:vAlign w:val="center"/>
          </w:tcPr>
          <w:p>
            <w:pPr>
              <w:pStyle w:val="TableContents"/>
              <w:widowControl w:val="false"/>
              <w:suppressLineNumbers/>
              <w:bidi w:val="0"/>
              <w:jc w:val="start"/>
              <w:rPr/>
            </w:pPr>
            <w:r>
              <w:rPr/>
              <w:t>Efficient asset utilization</w:t>
            </w:r>
          </w:p>
        </w:tc>
      </w:tr>
    </w:tbl>
    <w:p>
      <w:pPr>
        <w:pStyle w:val="HorizontalLine"/>
        <w:bidi w:val="0"/>
        <w:jc w:val="start"/>
        <w:rPr/>
      </w:pPr>
      <w:r>
        <w:rPr/>
      </w:r>
    </w:p>
    <w:p>
      <w:pPr>
        <w:pStyle w:val="Heading3"/>
        <w:bidi w:val="0"/>
        <w:jc w:val="start"/>
        <w:rPr/>
      </w:pPr>
      <w:r>
        <w:rPr>
          <w:rStyle w:val="Strong"/>
          <w:b/>
          <w:bCs/>
        </w:rPr>
        <w:t>6. Stakeholders &amp; Shareholders</w:t>
      </w:r>
    </w:p>
    <w:p>
      <w:pPr>
        <w:pStyle w:val="BodyText"/>
        <w:bidi w:val="0"/>
        <w:jc w:val="start"/>
        <w:rPr/>
      </w:pPr>
      <w:r>
        <w:rPr>
          <w:rStyle w:val="Strong"/>
        </w:rPr>
        <w:t>Major Shareholders</w:t>
      </w:r>
    </w:p>
    <w:p>
      <w:pPr>
        <w:pStyle w:val="BodyText"/>
        <w:numPr>
          <w:ilvl w:val="0"/>
          <w:numId w:val="4"/>
        </w:numPr>
        <w:tabs>
          <w:tab w:val="clear" w:pos="709"/>
          <w:tab w:val="left" w:pos="709" w:leader="none"/>
        </w:tabs>
        <w:bidi w:val="0"/>
        <w:ind w:hanging="283" w:start="709"/>
        <w:jc w:val="start"/>
        <w:rPr/>
      </w:pPr>
      <w:r>
        <w:rPr/>
        <w:t>Jensen Huang – Founder &amp; CEO (~3.5% ownership)</w:t>
      </w:r>
    </w:p>
    <w:p>
      <w:pPr>
        <w:pStyle w:val="BodyText"/>
        <w:numPr>
          <w:ilvl w:val="0"/>
          <w:numId w:val="4"/>
        </w:numPr>
        <w:tabs>
          <w:tab w:val="clear" w:pos="709"/>
          <w:tab w:val="left" w:pos="709" w:leader="none"/>
        </w:tabs>
        <w:bidi w:val="0"/>
        <w:ind w:hanging="283" w:start="709"/>
        <w:jc w:val="start"/>
        <w:rPr/>
      </w:pPr>
      <w:r>
        <w:rPr/>
        <w:t>Vanguard Group</w:t>
      </w:r>
    </w:p>
    <w:p>
      <w:pPr>
        <w:pStyle w:val="BodyText"/>
        <w:numPr>
          <w:ilvl w:val="0"/>
          <w:numId w:val="4"/>
        </w:numPr>
        <w:tabs>
          <w:tab w:val="clear" w:pos="709"/>
          <w:tab w:val="left" w:pos="709" w:leader="none"/>
        </w:tabs>
        <w:bidi w:val="0"/>
        <w:ind w:hanging="283" w:start="709"/>
        <w:jc w:val="start"/>
        <w:rPr/>
      </w:pPr>
      <w:r>
        <w:rPr/>
        <w:t>BlackRock</w:t>
      </w:r>
    </w:p>
    <w:p>
      <w:pPr>
        <w:pStyle w:val="BodyText"/>
        <w:numPr>
          <w:ilvl w:val="0"/>
          <w:numId w:val="4"/>
        </w:numPr>
        <w:tabs>
          <w:tab w:val="clear" w:pos="709"/>
          <w:tab w:val="left" w:pos="709" w:leader="none"/>
        </w:tabs>
        <w:bidi w:val="0"/>
        <w:ind w:hanging="283" w:start="709"/>
        <w:jc w:val="start"/>
        <w:rPr/>
      </w:pPr>
      <w:r>
        <w:rPr/>
        <w:t>State Street</w:t>
      </w:r>
    </w:p>
    <w:p>
      <w:pPr>
        <w:pStyle w:val="BodyText"/>
        <w:numPr>
          <w:ilvl w:val="0"/>
          <w:numId w:val="4"/>
        </w:numPr>
        <w:tabs>
          <w:tab w:val="clear" w:pos="709"/>
          <w:tab w:val="left" w:pos="709" w:leader="none"/>
        </w:tabs>
        <w:bidi w:val="0"/>
        <w:ind w:hanging="283" w:start="709"/>
        <w:jc w:val="start"/>
        <w:rPr/>
      </w:pPr>
      <w:r>
        <w:rPr/>
        <w:t>Fidelity Investments</w:t>
      </w:r>
    </w:p>
    <w:p>
      <w:pPr>
        <w:pStyle w:val="BodyText"/>
        <w:bidi w:val="0"/>
        <w:jc w:val="start"/>
        <w:rPr/>
      </w:pPr>
      <w:r>
        <w:rPr>
          <w:rStyle w:val="Strong"/>
        </w:rPr>
        <w:t>Primary Stakeholders</w:t>
      </w:r>
    </w:p>
    <w:p>
      <w:pPr>
        <w:pStyle w:val="BodyText"/>
        <w:numPr>
          <w:ilvl w:val="0"/>
          <w:numId w:val="5"/>
        </w:numPr>
        <w:tabs>
          <w:tab w:val="clear" w:pos="709"/>
          <w:tab w:val="left" w:pos="709" w:leader="none"/>
        </w:tabs>
        <w:bidi w:val="0"/>
        <w:ind w:hanging="283" w:start="709"/>
        <w:jc w:val="start"/>
        <w:rPr/>
      </w:pPr>
      <w:r>
        <w:rPr/>
        <w:t>Investors and analysts</w:t>
      </w:r>
    </w:p>
    <w:p>
      <w:pPr>
        <w:pStyle w:val="BodyText"/>
        <w:numPr>
          <w:ilvl w:val="0"/>
          <w:numId w:val="5"/>
        </w:numPr>
        <w:tabs>
          <w:tab w:val="clear" w:pos="709"/>
          <w:tab w:val="left" w:pos="709" w:leader="none"/>
        </w:tabs>
        <w:bidi w:val="0"/>
        <w:ind w:hanging="283" w:start="709"/>
        <w:jc w:val="start"/>
        <w:rPr/>
      </w:pPr>
      <w:r>
        <w:rPr/>
        <w:t>Employees and engineers</w:t>
      </w:r>
    </w:p>
    <w:p>
      <w:pPr>
        <w:pStyle w:val="BodyText"/>
        <w:numPr>
          <w:ilvl w:val="0"/>
          <w:numId w:val="5"/>
        </w:numPr>
        <w:tabs>
          <w:tab w:val="clear" w:pos="709"/>
          <w:tab w:val="left" w:pos="709" w:leader="none"/>
        </w:tabs>
        <w:bidi w:val="0"/>
        <w:ind w:hanging="283" w:start="709"/>
        <w:jc w:val="start"/>
        <w:rPr/>
      </w:pPr>
      <w:r>
        <w:rPr/>
        <w:t>OEM partners (Dell, HP, Lenovo)</w:t>
      </w:r>
    </w:p>
    <w:p>
      <w:pPr>
        <w:pStyle w:val="BodyText"/>
        <w:numPr>
          <w:ilvl w:val="0"/>
          <w:numId w:val="5"/>
        </w:numPr>
        <w:tabs>
          <w:tab w:val="clear" w:pos="709"/>
          <w:tab w:val="left" w:pos="709" w:leader="none"/>
        </w:tabs>
        <w:bidi w:val="0"/>
        <w:ind w:hanging="283" w:start="709"/>
        <w:jc w:val="start"/>
        <w:rPr/>
      </w:pPr>
      <w:r>
        <w:rPr/>
        <w:t>Cloud providers (AWS, Microsoft Azure, Google Cloud)</w:t>
      </w:r>
    </w:p>
    <w:p>
      <w:pPr>
        <w:pStyle w:val="BodyText"/>
        <w:numPr>
          <w:ilvl w:val="0"/>
          <w:numId w:val="5"/>
        </w:numPr>
        <w:tabs>
          <w:tab w:val="clear" w:pos="709"/>
          <w:tab w:val="left" w:pos="709" w:leader="none"/>
        </w:tabs>
        <w:bidi w:val="0"/>
        <w:ind w:hanging="283" w:start="709"/>
        <w:jc w:val="start"/>
        <w:rPr/>
      </w:pPr>
      <w:r>
        <w:rPr/>
        <w:t>Governments and regulators</w:t>
      </w:r>
    </w:p>
    <w:p>
      <w:pPr>
        <w:pStyle w:val="BodyText"/>
        <w:numPr>
          <w:ilvl w:val="0"/>
          <w:numId w:val="5"/>
        </w:numPr>
        <w:tabs>
          <w:tab w:val="clear" w:pos="709"/>
          <w:tab w:val="left" w:pos="709" w:leader="none"/>
        </w:tabs>
        <w:bidi w:val="0"/>
        <w:ind w:hanging="283" w:start="709"/>
        <w:jc w:val="start"/>
        <w:rPr/>
      </w:pPr>
      <w:r>
        <w:rPr/>
        <w:t>End consumers and AI developers</w:t>
      </w:r>
    </w:p>
    <w:p>
      <w:pPr>
        <w:pStyle w:val="HorizontalLine"/>
        <w:bidi w:val="0"/>
        <w:jc w:val="start"/>
        <w:rPr/>
      </w:pPr>
      <w:r>
        <w:rPr/>
      </w:r>
    </w:p>
    <w:p>
      <w:pPr>
        <w:pStyle w:val="Heading3"/>
        <w:bidi w:val="0"/>
        <w:jc w:val="start"/>
        <w:rPr/>
      </w:pPr>
      <w:r>
        <w:rPr>
          <w:rStyle w:val="Strong"/>
          <w:b/>
          <w:bCs/>
        </w:rPr>
        <w:t>7. Organizational Chart (Simplified)</w:t>
      </w:r>
    </w:p>
    <w:p>
      <w:pPr>
        <w:pStyle w:val="BodyText"/>
        <w:bidi w:val="0"/>
        <w:jc w:val="start"/>
        <w:rPr/>
      </w:pPr>
      <w:r>
        <w:rPr/>
        <w:t>Jensen Huang — Chief Executive Officer</w:t>
        <w:br/>
        <w:t>│</w:t>
        <w:br/>
        <w:t>├── Colette Kress — Chief Financial Officer</w:t>
        <w:br/>
        <w:t>├── Debora Shoquist — EVP, Operations</w:t>
        <w:br/>
        <w:t>├── Donald Robertson — General Counsel</w:t>
        <w:br/>
        <w:t>├── Mark Stevens — Lead Independent Director</w:t>
        <w:br/>
        <w:t>└── Manuvir Das — Head of Enterprise Computing</w:t>
      </w:r>
    </w:p>
    <w:p>
      <w:pPr>
        <w:pStyle w:val="HorizontalLine"/>
        <w:bidi w:val="0"/>
        <w:jc w:val="start"/>
        <w:rPr/>
      </w:pPr>
      <w:r>
        <w:rPr/>
      </w:r>
    </w:p>
    <w:p>
      <w:pPr>
        <w:pStyle w:val="Heading3"/>
        <w:bidi w:val="0"/>
        <w:jc w:val="start"/>
        <w:rPr/>
      </w:pPr>
      <w:r>
        <w:rPr>
          <w:rStyle w:val="Strong"/>
          <w:b/>
          <w:bCs/>
        </w:rPr>
        <w:t>8. Major Challenges</w:t>
      </w:r>
    </w:p>
    <w:p>
      <w:pPr>
        <w:pStyle w:val="BodyText"/>
        <w:numPr>
          <w:ilvl w:val="0"/>
          <w:numId w:val="6"/>
        </w:numPr>
        <w:tabs>
          <w:tab w:val="clear" w:pos="709"/>
          <w:tab w:val="left" w:pos="709" w:leader="none"/>
        </w:tabs>
        <w:bidi w:val="0"/>
        <w:ind w:hanging="283" w:start="709"/>
        <w:jc w:val="start"/>
        <w:rPr/>
      </w:pPr>
      <w:r>
        <w:rPr>
          <w:rStyle w:val="Strong"/>
        </w:rPr>
        <w:t>Supply Chain Dependency</w:t>
      </w:r>
      <w:r>
        <w:rPr/>
        <w:t xml:space="preserve"> – Heavy reliance on TSMC and Samsung for advanced node chips.</w:t>
      </w:r>
    </w:p>
    <w:p>
      <w:pPr>
        <w:pStyle w:val="BodyText"/>
        <w:numPr>
          <w:ilvl w:val="0"/>
          <w:numId w:val="6"/>
        </w:numPr>
        <w:tabs>
          <w:tab w:val="clear" w:pos="709"/>
          <w:tab w:val="left" w:pos="709" w:leader="none"/>
        </w:tabs>
        <w:bidi w:val="0"/>
        <w:ind w:hanging="283" w:start="709"/>
        <w:jc w:val="start"/>
        <w:rPr/>
      </w:pPr>
      <w:r>
        <w:rPr>
          <w:rStyle w:val="Strong"/>
        </w:rPr>
        <w:t>Geopolitical Tensions</w:t>
      </w:r>
      <w:r>
        <w:rPr/>
        <w:t xml:space="preserve"> – U.S.–China export restrictions affecting data center GPU shipments.</w:t>
      </w:r>
    </w:p>
    <w:p>
      <w:pPr>
        <w:pStyle w:val="BodyText"/>
        <w:numPr>
          <w:ilvl w:val="0"/>
          <w:numId w:val="6"/>
        </w:numPr>
        <w:tabs>
          <w:tab w:val="clear" w:pos="709"/>
          <w:tab w:val="left" w:pos="709" w:leader="none"/>
        </w:tabs>
        <w:bidi w:val="0"/>
        <w:ind w:hanging="283" w:start="709"/>
        <w:jc w:val="start"/>
        <w:rPr/>
      </w:pPr>
      <w:r>
        <w:rPr>
          <w:rStyle w:val="Strong"/>
        </w:rPr>
        <w:t>Rising Competition</w:t>
      </w:r>
      <w:r>
        <w:rPr/>
        <w:t xml:space="preserve"> – AMD, Intel, and emerging AI startups entering GPU markets.</w:t>
      </w:r>
    </w:p>
    <w:p>
      <w:pPr>
        <w:pStyle w:val="BodyText"/>
        <w:numPr>
          <w:ilvl w:val="0"/>
          <w:numId w:val="6"/>
        </w:numPr>
        <w:tabs>
          <w:tab w:val="clear" w:pos="709"/>
          <w:tab w:val="left" w:pos="709" w:leader="none"/>
        </w:tabs>
        <w:bidi w:val="0"/>
        <w:ind w:hanging="283" w:start="709"/>
        <w:jc w:val="start"/>
        <w:rPr/>
      </w:pPr>
      <w:r>
        <w:rPr>
          <w:rStyle w:val="Strong"/>
        </w:rPr>
        <w:t>Regulatory Pressure</w:t>
      </w:r>
      <w:r>
        <w:rPr/>
        <w:t xml:space="preserve"> – Antitrust scrutiny over AI dominance and cloud partnerships.</w:t>
      </w:r>
    </w:p>
    <w:p>
      <w:pPr>
        <w:pStyle w:val="BodyText"/>
        <w:numPr>
          <w:ilvl w:val="0"/>
          <w:numId w:val="6"/>
        </w:numPr>
        <w:tabs>
          <w:tab w:val="clear" w:pos="709"/>
          <w:tab w:val="left" w:pos="709" w:leader="none"/>
        </w:tabs>
        <w:bidi w:val="0"/>
        <w:ind w:hanging="283" w:start="709"/>
        <w:jc w:val="start"/>
        <w:rPr/>
      </w:pPr>
      <w:r>
        <w:rPr>
          <w:rStyle w:val="Strong"/>
        </w:rPr>
        <w:t>Revenue Concentration Risk</w:t>
      </w:r>
      <w:r>
        <w:rPr/>
        <w:t xml:space="preserve"> – Data center segment contributes &gt;75% of total revenue.</w:t>
      </w:r>
    </w:p>
    <w:p>
      <w:pPr>
        <w:pStyle w:val="HorizontalLine"/>
        <w:bidi w:val="0"/>
        <w:jc w:val="start"/>
        <w:rPr/>
      </w:pPr>
      <w:r>
        <w:rPr/>
      </w:r>
    </w:p>
    <w:p>
      <w:pPr>
        <w:pStyle w:val="Heading3"/>
        <w:bidi w:val="0"/>
        <w:jc w:val="start"/>
        <w:rPr/>
      </w:pPr>
      <w:r>
        <w:rPr>
          <w:rStyle w:val="Strong"/>
          <w:b/>
          <w:bCs/>
        </w:rPr>
        <w:t>9. Recommendations</w:t>
      </w:r>
    </w:p>
    <w:p>
      <w:pPr>
        <w:pStyle w:val="BodyText"/>
        <w:numPr>
          <w:ilvl w:val="0"/>
          <w:numId w:val="7"/>
        </w:numPr>
        <w:tabs>
          <w:tab w:val="clear" w:pos="709"/>
          <w:tab w:val="left" w:pos="709" w:leader="none"/>
        </w:tabs>
        <w:bidi w:val="0"/>
        <w:ind w:hanging="283" w:start="709"/>
        <w:jc w:val="start"/>
        <w:rPr/>
      </w:pPr>
      <w:r>
        <w:rPr/>
        <w:t>Diversify suppliers and explore secondary foundries.</w:t>
      </w:r>
    </w:p>
    <w:p>
      <w:pPr>
        <w:pStyle w:val="BodyText"/>
        <w:numPr>
          <w:ilvl w:val="0"/>
          <w:numId w:val="7"/>
        </w:numPr>
        <w:tabs>
          <w:tab w:val="clear" w:pos="709"/>
          <w:tab w:val="left" w:pos="709" w:leader="none"/>
        </w:tabs>
        <w:bidi w:val="0"/>
        <w:ind w:hanging="283" w:start="709"/>
        <w:jc w:val="start"/>
        <w:rPr/>
      </w:pPr>
      <w:r>
        <w:rPr/>
        <w:t>Strengthen government relations and compliance frameworks.</w:t>
      </w:r>
    </w:p>
    <w:p>
      <w:pPr>
        <w:pStyle w:val="BodyText"/>
        <w:numPr>
          <w:ilvl w:val="0"/>
          <w:numId w:val="7"/>
        </w:numPr>
        <w:tabs>
          <w:tab w:val="clear" w:pos="709"/>
          <w:tab w:val="left" w:pos="709" w:leader="none"/>
        </w:tabs>
        <w:bidi w:val="0"/>
        <w:ind w:hanging="283" w:start="709"/>
        <w:jc w:val="start"/>
        <w:rPr/>
      </w:pPr>
      <w:r>
        <w:rPr/>
        <w:t>Expand AI software licensing and subscription services.</w:t>
      </w:r>
    </w:p>
    <w:p>
      <w:pPr>
        <w:pStyle w:val="BodyText"/>
        <w:numPr>
          <w:ilvl w:val="0"/>
          <w:numId w:val="7"/>
        </w:numPr>
        <w:tabs>
          <w:tab w:val="clear" w:pos="709"/>
          <w:tab w:val="left" w:pos="709" w:leader="none"/>
        </w:tabs>
        <w:bidi w:val="0"/>
        <w:ind w:hanging="283" w:start="709"/>
        <w:jc w:val="start"/>
        <w:rPr/>
      </w:pPr>
      <w:r>
        <w:rPr/>
        <w:t>Invest in sustainable chip design and energy-efficient architectures.</w:t>
      </w:r>
    </w:p>
    <w:p>
      <w:pPr>
        <w:pStyle w:val="BodyText"/>
        <w:numPr>
          <w:ilvl w:val="0"/>
          <w:numId w:val="7"/>
        </w:numPr>
        <w:tabs>
          <w:tab w:val="clear" w:pos="709"/>
          <w:tab w:val="left" w:pos="709" w:leader="none"/>
        </w:tabs>
        <w:bidi w:val="0"/>
        <w:ind w:hanging="283" w:start="709"/>
        <w:jc w:val="start"/>
        <w:rPr/>
      </w:pPr>
      <w:r>
        <w:rPr/>
        <w:t>Broaden geographic reach in emerging markets like India and the Middle East.</w:t>
      </w:r>
    </w:p>
    <w:p>
      <w:pPr>
        <w:pStyle w:val="HorizontalLine"/>
        <w:bidi w:val="0"/>
        <w:jc w:val="start"/>
        <w:rPr/>
      </w:pPr>
      <w:r>
        <w:rPr/>
      </w:r>
    </w:p>
    <w:p>
      <w:pPr>
        <w:pStyle w:val="Heading3"/>
        <w:bidi w:val="0"/>
        <w:jc w:val="start"/>
        <w:rPr/>
      </w:pPr>
      <w:r>
        <w:rPr>
          <w:rStyle w:val="Strong"/>
          <w:b/>
          <w:bCs/>
        </w:rPr>
        <w:t>10. Conclusion</w:t>
      </w:r>
    </w:p>
    <w:p>
      <w:pPr>
        <w:pStyle w:val="BodyText"/>
        <w:bidi w:val="0"/>
        <w:jc w:val="start"/>
        <w:rPr/>
      </w:pPr>
      <w:r>
        <w:rPr/>
        <w:t>NVIDIA’s dominance in AI computing makes it one of the most profitable companies in the tech sector. Financials highlight rapid growth, strong liquidity, and efficient capital use. The company’s challenge is sustaining scalability while managing geopolitical and supply-side risks. Continuous innovation in AI, autonomous vehicles, and software ecosystems positions NVIDIA for long-term leadership.</w:t>
      </w:r>
    </w:p>
    <w:p>
      <w:pPr>
        <w:pStyle w:val="HorizontalLine"/>
        <w:bidi w:val="0"/>
        <w:jc w:val="start"/>
        <w:rPr/>
      </w:pPr>
      <w:r>
        <w:rPr/>
      </w:r>
    </w:p>
    <w:p>
      <w:pPr>
        <w:pStyle w:val="Heading3"/>
        <w:bidi w:val="0"/>
        <w:jc w:val="start"/>
        <w:rPr/>
      </w:pPr>
      <w:r>
        <w:rPr>
          <w:rStyle w:val="Strong"/>
          <w:b/>
          <w:bCs/>
        </w:rPr>
        <w:t>11. References</w:t>
      </w:r>
    </w:p>
    <w:p>
      <w:pPr>
        <w:pStyle w:val="BodyText"/>
        <w:numPr>
          <w:ilvl w:val="0"/>
          <w:numId w:val="8"/>
        </w:numPr>
        <w:tabs>
          <w:tab w:val="clear" w:pos="709"/>
          <w:tab w:val="left" w:pos="709" w:leader="none"/>
        </w:tabs>
        <w:bidi w:val="0"/>
        <w:ind w:hanging="283" w:start="709"/>
        <w:jc w:val="start"/>
        <w:rPr/>
      </w:pPr>
      <w:r>
        <w:rPr/>
        <w:t>NVIDIA Corporation — Form 10-K Annual Report (FY 2024)</w:t>
      </w:r>
    </w:p>
    <w:p>
      <w:pPr>
        <w:pStyle w:val="BodyText"/>
        <w:numPr>
          <w:ilvl w:val="0"/>
          <w:numId w:val="8"/>
        </w:numPr>
        <w:tabs>
          <w:tab w:val="clear" w:pos="709"/>
          <w:tab w:val="left" w:pos="709" w:leader="none"/>
        </w:tabs>
        <w:bidi w:val="0"/>
        <w:ind w:hanging="283" w:start="709"/>
        <w:jc w:val="start"/>
        <w:rPr/>
      </w:pPr>
      <w:r>
        <w:rPr/>
        <w:t>NVIDIA Investor Relations — Quarterly Earnings Reports</w:t>
      </w:r>
    </w:p>
    <w:p>
      <w:pPr>
        <w:pStyle w:val="BodyText"/>
        <w:numPr>
          <w:ilvl w:val="0"/>
          <w:numId w:val="8"/>
        </w:numPr>
        <w:tabs>
          <w:tab w:val="clear" w:pos="709"/>
          <w:tab w:val="left" w:pos="709" w:leader="none"/>
        </w:tabs>
        <w:bidi w:val="0"/>
        <w:ind w:hanging="283" w:start="709"/>
        <w:jc w:val="start"/>
        <w:rPr/>
      </w:pPr>
      <w:r>
        <w:rPr/>
        <w:t>Yahoo Finance — NVIDIA Financial Summary 2024</w:t>
      </w:r>
    </w:p>
    <w:p>
      <w:pPr>
        <w:pStyle w:val="BodyText"/>
        <w:numPr>
          <w:ilvl w:val="0"/>
          <w:numId w:val="8"/>
        </w:numPr>
        <w:tabs>
          <w:tab w:val="clear" w:pos="709"/>
          <w:tab w:val="left" w:pos="709" w:leader="none"/>
        </w:tabs>
        <w:bidi w:val="0"/>
        <w:ind w:hanging="283" w:start="709"/>
        <w:jc w:val="start"/>
        <w:rPr/>
      </w:pPr>
      <w:r>
        <w:rPr/>
        <w:t>Reuters — NVIDIA Market Overview and Analysis</w:t>
      </w:r>
    </w:p>
    <w:p>
      <w:pPr>
        <w:pStyle w:val="HorizontalLine"/>
        <w:bidi w:val="0"/>
        <w:jc w:val="start"/>
        <w:rPr/>
      </w:pPr>
      <w:r>
        <w:rPr/>
      </w:r>
    </w:p>
    <w:p>
      <w:pPr>
        <w:pStyle w:val="BodyText"/>
        <w:bidi w:val="0"/>
        <w:jc w:val="start"/>
        <w:rPr/>
      </w:pPr>
      <w:r>
        <w:rPr/>
        <w:t xml:space="preserve">Do you want me to now export this cleaned version into a </w:t>
      </w:r>
      <w:r>
        <w:rPr>
          <w:rStyle w:val="SourceText"/>
        </w:rPr>
        <w:t>.docx</w:t>
      </w:r>
      <w:r>
        <w:rPr/>
        <w:t xml:space="preserve"> file for you to download?</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Noto Serif CJK SC" w:cs="Noto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w:b/>
      <w:bCs/>
      <w:sz w:val="24"/>
      <w:szCs w:val="24"/>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LibreOffice/25.8.2.2$Linux_X86_64 LibreOffice_project/d401f2107ccab8f924a8e2df40f573aab7605b6f</Application>
  <AppVersion>15.0000</AppVersion>
  <Pages>4</Pages>
  <Words>749</Words>
  <Characters>4666</Characters>
  <CharactersWithSpaces>5233</CharactersWithSpaces>
  <Paragraphs>164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2025-10-22T18:58:40Z</dcterms:created>
  <dc:creator/>
  <dc:description/>
  <dc:language>en-US</dc:language>
  <cp:lastModifiedBy/>
  <dcterms:modified xsi:type="dcterms:W3CDTF">2025-10-22T19:10:42Z</dcterms:modified>
  <cp:revision>2</cp:revision>
  <dc:subject/>
  <dc:title/>
</cp:coreProperties>
</file>