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56"/>
          <w:szCs w:val="56"/>
        </w:rPr>
        <w:t xml:space="preserve">NATIONAL DIGITAL DATA PRIVACY</w:t>
      </w:r>
    </w:p>
    <w:p>
      <w:pPr>
        <w:spacing w:after="80"/>
        <w:jc w:val="center"/>
      </w:pPr>
      <w:r>
        <w:rPr>
          <w:rFonts w:ascii="Arial" w:cs="Arial" w:eastAsia="Arial" w:hAnsi="Arial"/>
          <w:b/>
          <w:bCs/>
          <w:color w:val="1F3864"/>
          <w:sz w:val="56"/>
          <w:szCs w:val="56"/>
        </w:rPr>
        <w:t xml:space="preserve">&amp; PROTECTION POLICY</w:t>
      </w:r>
    </w:p>
    <w:p>
      <w:pPr>
        <w:spacing w:after="80"/>
        <w:jc w:val="center"/>
      </w:pPr>
      <w:r>
        <w:rPr>
          <w:rFonts w:ascii="Arial" w:cs="Arial" w:eastAsia="Arial" w:hAnsi="Arial"/>
          <w:i/>
          <w:iCs/>
          <w:color w:val="555555"/>
          <w:sz w:val="22"/>
          <w:szCs w:val="22"/>
        </w:rPr>
        <w:t xml:space="preserve">Policy Document No. MDA-2026-07</w:t>
      </w:r>
    </w:p>
    <w:p>
      <w:pPr>
        <w:spacing w:after="80"/>
        <w:jc w:val="center"/>
      </w:pPr>
      <w:r>
        <w:rPr>
          <w:rFonts w:ascii="Arial" w:cs="Arial" w:eastAsia="Arial" w:hAnsi="Arial"/>
          <w:color w:val="555555"/>
          <w:sz w:val="22"/>
          <w:szCs w:val="22"/>
        </w:rPr>
        <w:t xml:space="preserve">Issued by: Ministry of Digital Affairs</w:t>
      </w:r>
    </w:p>
    <w:p>
      <w:pPr>
        <w:spacing w:after="80"/>
        <w:jc w:val="center"/>
      </w:pPr>
      <w:r>
        <w:rPr>
          <w:rFonts w:ascii="Arial" w:cs="Arial" w:eastAsia="Arial" w:hAnsi="Arial"/>
          <w:color w:val="555555"/>
          <w:sz w:val="22"/>
          <w:szCs w:val="22"/>
        </w:rPr>
        <w:t xml:space="preserve">Effective Date: July 1, 2026  |  Review Date: July 1, 2028</w:t>
      </w:r>
    </w:p>
    <w:p>
      <w:pPr>
        <w:pBdr>
          <w:bottom w:val="single" w:color="2E75B6" w:sz="8" w:space="4"/>
        </w:pBdr>
        <w:spacing w:after="600"/>
        <w:jc w:val="center"/>
      </w:pPr>
      <w:r>
        <w:rPr>
          <w:rFonts w:ascii="Arial" w:cs="Arial" w:eastAsia="Arial" w:hAnsi="Arial"/>
          <w:b/>
          <w:bCs/>
          <w:color w:val="C00000"/>
          <w:sz w:val="26"/>
          <w:szCs w:val="26"/>
        </w:rPr>
        <w:t xml:space="preserve">PUBLIC CONSULTATION DRAFT</w:t>
      </w:r>
    </w:p>
    <w:p>
      <w:pPr>
        <w:pStyle w:val="Heading1"/>
      </w:pPr>
      <w:r>
        <w:rPr>
          <w:rFonts w:ascii="Arial" w:cs="Arial" w:eastAsia="Arial" w:hAnsi="Arial"/>
          <w:b/>
          <w:bCs/>
          <w:sz w:val="32"/>
          <w:szCs w:val="32"/>
        </w:rPr>
        <w:t xml:space="preserve">1. Executive Summary</w:t>
      </w:r>
    </w:p>
    <w:p>
      <w:pPr>
        <w:spacing w:after="160"/>
      </w:pPr>
      <w:r>
        <w:rPr>
          <w:rFonts w:ascii="Arial" w:cs="Arial" w:eastAsia="Arial" w:hAnsi="Arial"/>
          <w:sz w:val="22"/>
          <w:szCs w:val="22"/>
        </w:rPr>
        <w:t xml:space="preserve">This policy establishes a comprehensive framework for the collection, processing, storage, and transfer of personal data by public and private entities operating within the national jurisdiction. It aims to protect the fundamental rights of citizens to privacy and data sovereignty while enabling responsible innovation and economic growth in the digital economy.</w:t>
      </w:r>
    </w:p>
    <w:p>
      <w:pPr>
        <w:spacing w:after="160"/>
      </w:pPr>
      <w:r>
        <w:rPr>
          <w:rFonts w:ascii="Arial" w:cs="Arial" w:eastAsia="Arial" w:hAnsi="Arial"/>
          <w:sz w:val="22"/>
          <w:szCs w:val="22"/>
        </w:rPr>
        <w:t xml:space="preserve">This document is released for a 60-day public consultation period from June 17 to August 17, 2026. All stakeholders — citizens, civil society organizations, private sector entities, and academic institutions — are encouraged to submit written comments.</w:t>
      </w:r>
    </w:p>
    <w:p>
      <w:r>
        <w:t xml:space="preserve"/>
      </w:r>
    </w:p>
    <w:p>
      <w:pPr>
        <w:pStyle w:val="Heading1"/>
      </w:pPr>
      <w:r>
        <w:rPr>
          <w:rFonts w:ascii="Arial" w:cs="Arial" w:eastAsia="Arial" w:hAnsi="Arial"/>
          <w:b/>
          <w:bCs/>
          <w:sz w:val="32"/>
          <w:szCs w:val="32"/>
        </w:rPr>
        <w:t xml:space="preserve">2. Policy Objectives</w:t>
      </w:r>
    </w:p>
    <w:p>
      <w:pPr>
        <w:spacing w:after="160"/>
      </w:pPr>
      <w:r>
        <w:rPr>
          <w:rFonts w:ascii="Arial" w:cs="Arial" w:eastAsia="Arial" w:hAnsi="Arial"/>
          <w:sz w:val="22"/>
          <w:szCs w:val="22"/>
        </w:rPr>
        <w:t xml:space="preserve">The core objectives of this policy are:</w:t>
      </w:r>
    </w:p>
    <w:p>
      <w:pPr>
        <w:pStyle w:val="ListParagraph"/>
        <w:numPr>
          <w:ilvl w:val="0"/>
          <w:numId w:val="2"/>
        </w:numPr>
        <w:spacing w:after="100"/>
      </w:pPr>
      <w:r>
        <w:rPr>
          <w:rFonts w:ascii="Arial" w:cs="Arial" w:eastAsia="Arial" w:hAnsi="Arial"/>
          <w:sz w:val="22"/>
          <w:szCs w:val="22"/>
        </w:rPr>
        <w:t xml:space="preserve">Establish enforceable rights for data subjects, including rights to access, rectification, erasure, and portability of personal data.</w:t>
      </w:r>
    </w:p>
    <w:p>
      <w:pPr>
        <w:pStyle w:val="ListParagraph"/>
        <w:numPr>
          <w:ilvl w:val="0"/>
          <w:numId w:val="2"/>
        </w:numPr>
        <w:spacing w:after="100"/>
      </w:pPr>
      <w:r>
        <w:rPr>
          <w:rFonts w:ascii="Arial" w:cs="Arial" w:eastAsia="Arial" w:hAnsi="Arial"/>
          <w:sz w:val="22"/>
          <w:szCs w:val="22"/>
        </w:rPr>
        <w:t xml:space="preserve">Create a clear accountability framework for data controllers and processors operating in both public and private sectors.</w:t>
      </w:r>
    </w:p>
    <w:p>
      <w:pPr>
        <w:pStyle w:val="ListParagraph"/>
        <w:numPr>
          <w:ilvl w:val="0"/>
          <w:numId w:val="2"/>
        </w:numPr>
        <w:spacing w:after="100"/>
      </w:pPr>
      <w:r>
        <w:rPr>
          <w:rFonts w:ascii="Arial" w:cs="Arial" w:eastAsia="Arial" w:hAnsi="Arial"/>
          <w:sz w:val="22"/>
          <w:szCs w:val="22"/>
        </w:rPr>
        <w:t xml:space="preserve">Promote data minimization and purpose limitation principles across all data processing activities.</w:t>
      </w:r>
    </w:p>
    <w:p>
      <w:pPr>
        <w:pStyle w:val="ListParagraph"/>
        <w:numPr>
          <w:ilvl w:val="0"/>
          <w:numId w:val="2"/>
        </w:numPr>
        <w:spacing w:after="100"/>
      </w:pPr>
      <w:r>
        <w:rPr>
          <w:rFonts w:ascii="Arial" w:cs="Arial" w:eastAsia="Arial" w:hAnsi="Arial"/>
          <w:sz w:val="22"/>
          <w:szCs w:val="22"/>
        </w:rPr>
        <w:t xml:space="preserve">Ensure the security and integrity of personal data through mandatory technical and organizational measures.</w:t>
      </w:r>
    </w:p>
    <w:p>
      <w:pPr>
        <w:pStyle w:val="ListParagraph"/>
        <w:numPr>
          <w:ilvl w:val="0"/>
          <w:numId w:val="2"/>
        </w:numPr>
        <w:spacing w:after="100"/>
      </w:pPr>
      <w:r>
        <w:rPr>
          <w:rFonts w:ascii="Arial" w:cs="Arial" w:eastAsia="Arial" w:hAnsi="Arial"/>
          <w:sz w:val="22"/>
          <w:szCs w:val="22"/>
        </w:rPr>
        <w:t xml:space="preserve">Facilitate lawful cross-border data transfers while preserving national data sovereignty.</w:t>
      </w:r>
    </w:p>
    <w:p>
      <w:pPr>
        <w:pStyle w:val="ListParagraph"/>
        <w:numPr>
          <w:ilvl w:val="0"/>
          <w:numId w:val="2"/>
        </w:numPr>
        <w:spacing w:after="100"/>
      </w:pPr>
      <w:r>
        <w:rPr>
          <w:rFonts w:ascii="Arial" w:cs="Arial" w:eastAsia="Arial" w:hAnsi="Arial"/>
          <w:sz w:val="22"/>
          <w:szCs w:val="22"/>
        </w:rPr>
        <w:t xml:space="preserve">Establish an independent National Data Protection Authority (NDPA) with adequate powers of investigation and enforcement.</w:t>
      </w:r>
    </w:p>
    <w:p>
      <w:r>
        <w:t xml:space="preserve"/>
      </w:r>
    </w:p>
    <w:p>
      <w:pPr>
        <w:pStyle w:val="Heading1"/>
      </w:pPr>
      <w:r>
        <w:rPr>
          <w:rFonts w:ascii="Arial" w:cs="Arial" w:eastAsia="Arial" w:hAnsi="Arial"/>
          <w:b/>
          <w:bCs/>
          <w:sz w:val="32"/>
          <w:szCs w:val="32"/>
        </w:rPr>
        <w:t xml:space="preserve">3. Scope &amp; Applicability</w:t>
      </w:r>
    </w:p>
    <w:p>
      <w:pPr>
        <w:pStyle w:val="Heading2"/>
      </w:pPr>
      <w:r>
        <w:rPr>
          <w:rFonts w:ascii="Arial" w:cs="Arial" w:eastAsia="Arial" w:hAnsi="Arial"/>
          <w:b/>
          <w:bCs/>
          <w:sz w:val="26"/>
          <w:szCs w:val="26"/>
        </w:rPr>
        <w:t xml:space="preserve">3.1 Entities Covered</w:t>
      </w:r>
    </w:p>
    <w:p>
      <w:pPr>
        <w:spacing w:after="160"/>
      </w:pPr>
      <w:r>
        <w:rPr>
          <w:rFonts w:ascii="Arial" w:cs="Arial" w:eastAsia="Arial" w:hAnsi="Arial"/>
          <w:sz w:val="22"/>
          <w:szCs w:val="22"/>
        </w:rPr>
        <w:t xml:space="preserve">This policy applies to all natural and legal persons, public authorities, agencies, and other bodies that process personal data in the course of activities carried out within the national territory, including:</w:t>
      </w:r>
    </w:p>
    <w:p>
      <w:pPr>
        <w:pStyle w:val="ListParagraph"/>
        <w:numPr>
          <w:ilvl w:val="0"/>
          <w:numId w:val="2"/>
        </w:numPr>
        <w:spacing w:after="100"/>
      </w:pPr>
      <w:r>
        <w:rPr>
          <w:rFonts w:ascii="Arial" w:cs="Arial" w:eastAsia="Arial" w:hAnsi="Arial"/>
          <w:sz w:val="22"/>
          <w:szCs w:val="22"/>
        </w:rPr>
        <w:t xml:space="preserve">Government ministries, departments, and state-owned enterprises.</w:t>
      </w:r>
    </w:p>
    <w:p>
      <w:pPr>
        <w:pStyle w:val="ListParagraph"/>
        <w:numPr>
          <w:ilvl w:val="0"/>
          <w:numId w:val="2"/>
        </w:numPr>
        <w:spacing w:after="100"/>
      </w:pPr>
      <w:r>
        <w:rPr>
          <w:rFonts w:ascii="Arial" w:cs="Arial" w:eastAsia="Arial" w:hAnsi="Arial"/>
          <w:sz w:val="22"/>
          <w:szCs w:val="22"/>
        </w:rPr>
        <w:t xml:space="preserve">Private companies incorporated or operating within national jurisdiction.</w:t>
      </w:r>
    </w:p>
    <w:p>
      <w:pPr>
        <w:pStyle w:val="ListParagraph"/>
        <w:numPr>
          <w:ilvl w:val="0"/>
          <w:numId w:val="2"/>
        </w:numPr>
        <w:spacing w:after="100"/>
      </w:pPr>
      <w:r>
        <w:rPr>
          <w:rFonts w:ascii="Arial" w:cs="Arial" w:eastAsia="Arial" w:hAnsi="Arial"/>
          <w:sz w:val="22"/>
          <w:szCs w:val="22"/>
        </w:rPr>
        <w:t xml:space="preserve">Foreign entities that offer goods or services to residents or monitor their behavior.</w:t>
      </w:r>
    </w:p>
    <w:p>
      <w:pPr>
        <w:pStyle w:val="ListParagraph"/>
        <w:numPr>
          <w:ilvl w:val="0"/>
          <w:numId w:val="2"/>
        </w:numPr>
        <w:spacing w:after="100"/>
      </w:pPr>
      <w:r>
        <w:rPr>
          <w:rFonts w:ascii="Arial" w:cs="Arial" w:eastAsia="Arial" w:hAnsi="Arial"/>
          <w:sz w:val="22"/>
          <w:szCs w:val="22"/>
        </w:rPr>
        <w:t xml:space="preserve">Non-governmental organizations handling personal data of national residents.</w:t>
      </w:r>
    </w:p>
    <w:p>
      <w:pPr>
        <w:pStyle w:val="Heading2"/>
      </w:pPr>
      <w:r>
        <w:rPr>
          <w:rFonts w:ascii="Arial" w:cs="Arial" w:eastAsia="Arial" w:hAnsi="Arial"/>
          <w:b/>
          <w:bCs/>
          <w:sz w:val="26"/>
          <w:szCs w:val="26"/>
        </w:rPr>
        <w:t xml:space="preserve">3.2 Exclusions</w:t>
      </w:r>
    </w:p>
    <w:p>
      <w:pPr>
        <w:spacing w:after="160"/>
      </w:pPr>
      <w:r>
        <w:rPr>
          <w:rFonts w:ascii="Arial" w:cs="Arial" w:eastAsia="Arial" w:hAnsi="Arial"/>
          <w:sz w:val="22"/>
          <w:szCs w:val="22"/>
        </w:rPr>
        <w:t xml:space="preserve">The following categories are excluded from the scope of this policy: personal data processed by natural persons in the course of purely personal or household activities; data processed for national security and law enforcement purposes (governed by separate legislation); and anonymized or aggregated datasets that cannot reasonably be re-identified.</w:t>
      </w:r>
    </w:p>
    <w:p>
      <w:r>
        <w:t xml:space="preserve"/>
      </w:r>
    </w:p>
    <w:p>
      <w:pPr>
        <w:pStyle w:val="Heading1"/>
      </w:pPr>
      <w:r>
        <w:rPr>
          <w:rFonts w:ascii="Arial" w:cs="Arial" w:eastAsia="Arial" w:hAnsi="Arial"/>
          <w:b/>
          <w:bCs/>
          <w:sz w:val="32"/>
          <w:szCs w:val="32"/>
        </w:rPr>
        <w:t xml:space="preserve">4. Data Subject Rights</w:t>
      </w:r>
    </w:p>
    <w:p>
      <w:pPr>
        <w:spacing w:after="160"/>
      </w:pPr>
      <w:r>
        <w:rPr>
          <w:rFonts w:ascii="Arial" w:cs="Arial" w:eastAsia="Arial" w:hAnsi="Arial"/>
          <w:sz w:val="22"/>
          <w:szCs w:val="22"/>
        </w:rPr>
        <w:t xml:space="preserve">Every resident shall have the following rights regarding their personal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2"/>
                <w:szCs w:val="22"/>
              </w:rPr>
              <w:t xml:space="preserve">Right</w:t>
            </w:r>
          </w:p>
        </w:tc>
        <w:tc>
          <w:tcPr>
            <w:tcW w:type="dxa" w:w="71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r>
      <w:tr>
        <w:tc>
          <w:tcPr>
            <w:tcW w:type="dxa" w:w="2200"/>
            <w:tcBorders>
              <w:top w:val="single" w:color="CCCCCC" w:sz="1"/>
              <w:left w:val="single" w:color="CCCCCC" w:sz="1"/>
              <w:bottom w:val="single" w:color="CCCCCC" w:sz="1"/>
              <w:right w:val="single" w:color="CCCCCC" w:sz="1"/>
            </w:tcBorders>
            <w:shd w:fill="EBF3FA" w:val="clear"/>
            <w:tcMar>
              <w:top w:type="dxa" w:w="100"/>
              <w:left w:type="dxa" w:w="120"/>
              <w:bottom w:type="dxa" w:w="100"/>
              <w:right w:type="dxa" w:w="120"/>
            </w:tcMar>
          </w:tcPr>
          <w:p>
            <w:r>
              <w:rPr>
                <w:rFonts w:ascii="Arial" w:cs="Arial" w:eastAsia="Arial" w:hAnsi="Arial"/>
                <w:b/>
                <w:bCs/>
                <w:color w:val="1F3864"/>
                <w:sz w:val="22"/>
                <w:szCs w:val="22"/>
              </w:rPr>
              <w:t xml:space="preserve">Right to Access</w:t>
            </w:r>
          </w:p>
        </w:tc>
        <w:tc>
          <w:tcPr>
            <w:tcW w:type="dxa" w:w="7160"/>
            <w:tcBorders>
              <w:top w:val="single" w:color="CCCCCC" w:sz="1"/>
              <w:left w:val="single" w:color="CCCCCC" w:sz="1"/>
              <w:bottom w:val="single" w:color="CCCCCC" w:sz="1"/>
              <w:right w:val="single" w:color="CCCCCC" w:sz="1"/>
            </w:tcBorders>
            <w:shd w:fill="EBF3FA" w:val="clear"/>
            <w:tcMar>
              <w:top w:type="dxa" w:w="100"/>
              <w:left w:type="dxa" w:w="120"/>
              <w:bottom w:type="dxa" w:w="100"/>
              <w:right w:type="dxa" w:w="120"/>
            </w:tcMar>
          </w:tcPr>
          <w:p>
            <w:r>
              <w:rPr>
                <w:rFonts w:ascii="Arial" w:cs="Arial" w:eastAsia="Arial" w:hAnsi="Arial"/>
                <w:sz w:val="22"/>
                <w:szCs w:val="22"/>
              </w:rPr>
              <w:t xml:space="preserve">Individuals may request confirmation of whether their data is being processed, and obtain a copy of such data.</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1F3864"/>
                <w:sz w:val="22"/>
                <w:szCs w:val="22"/>
              </w:rPr>
              <w:t xml:space="preserve">Right to Rectification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Individuals may request correction of inaccurate or incomplete personal data without undue delay.</w:t>
            </w:r>
          </w:p>
        </w:tc>
      </w:tr>
      <w:tr>
        <w:tc>
          <w:tcPr>
            <w:tcW w:type="dxa" w:w="2200"/>
            <w:tcBorders>
              <w:top w:val="single" w:color="CCCCCC" w:sz="1"/>
              <w:left w:val="single" w:color="CCCCCC" w:sz="1"/>
              <w:bottom w:val="single" w:color="CCCCCC" w:sz="1"/>
              <w:right w:val="single" w:color="CCCCCC" w:sz="1"/>
            </w:tcBorders>
            <w:shd w:fill="EBF3FA" w:val="clear"/>
            <w:tcMar>
              <w:top w:type="dxa" w:w="100"/>
              <w:left w:type="dxa" w:w="120"/>
              <w:bottom w:type="dxa" w:w="100"/>
              <w:right w:type="dxa" w:w="120"/>
            </w:tcMar>
          </w:tcPr>
          <w:p>
            <w:r>
              <w:rPr>
                <w:rFonts w:ascii="Arial" w:cs="Arial" w:eastAsia="Arial" w:hAnsi="Arial"/>
                <w:b/>
                <w:bCs/>
                <w:color w:val="1F3864"/>
                <w:sz w:val="22"/>
                <w:szCs w:val="22"/>
              </w:rPr>
              <w:t xml:space="preserve">Right to Erasure</w:t>
            </w:r>
          </w:p>
        </w:tc>
        <w:tc>
          <w:tcPr>
            <w:tcW w:type="dxa" w:w="7160"/>
            <w:tcBorders>
              <w:top w:val="single" w:color="CCCCCC" w:sz="1"/>
              <w:left w:val="single" w:color="CCCCCC" w:sz="1"/>
              <w:bottom w:val="single" w:color="CCCCCC" w:sz="1"/>
              <w:right w:val="single" w:color="CCCCCC" w:sz="1"/>
            </w:tcBorders>
            <w:shd w:fill="EBF3FA" w:val="clear"/>
            <w:tcMar>
              <w:top w:type="dxa" w:w="100"/>
              <w:left w:type="dxa" w:w="120"/>
              <w:bottom w:type="dxa" w:w="100"/>
              <w:right w:type="dxa" w:w="120"/>
            </w:tcMar>
          </w:tcPr>
          <w:p>
            <w:r>
              <w:rPr>
                <w:rFonts w:ascii="Arial" w:cs="Arial" w:eastAsia="Arial" w:hAnsi="Arial"/>
                <w:sz w:val="22"/>
                <w:szCs w:val="22"/>
              </w:rPr>
              <w:t xml:space="preserve">Individuals may request deletion of personal data where it is no longer necessary for its original purpose.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1F3864"/>
                <w:sz w:val="22"/>
                <w:szCs w:val="22"/>
              </w:rPr>
              <w:t xml:space="preserve">Right to Data Portability</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Individuals may receive their data in a structured, machine-readable format and transfer it to another controller.</w:t>
            </w:r>
          </w:p>
        </w:tc>
      </w:tr>
      <w:tr>
        <w:tc>
          <w:tcPr>
            <w:tcW w:type="dxa" w:w="2200"/>
            <w:tcBorders>
              <w:top w:val="single" w:color="CCCCCC" w:sz="1"/>
              <w:left w:val="single" w:color="CCCCCC" w:sz="1"/>
              <w:bottom w:val="single" w:color="CCCCCC" w:sz="1"/>
              <w:right w:val="single" w:color="CCCCCC" w:sz="1"/>
            </w:tcBorders>
            <w:shd w:fill="EBF3FA" w:val="clear"/>
            <w:tcMar>
              <w:top w:type="dxa" w:w="100"/>
              <w:left w:type="dxa" w:w="120"/>
              <w:bottom w:type="dxa" w:w="100"/>
              <w:right w:type="dxa" w:w="120"/>
            </w:tcMar>
          </w:tcPr>
          <w:p>
            <w:r>
              <w:rPr>
                <w:rFonts w:ascii="Arial" w:cs="Arial" w:eastAsia="Arial" w:hAnsi="Arial"/>
                <w:b/>
                <w:bCs/>
                <w:color w:val="1F3864"/>
                <w:sz w:val="22"/>
                <w:szCs w:val="22"/>
              </w:rPr>
              <w:t xml:space="preserve">Right to Object</w:t>
            </w:r>
          </w:p>
        </w:tc>
        <w:tc>
          <w:tcPr>
            <w:tcW w:type="dxa" w:w="7160"/>
            <w:tcBorders>
              <w:top w:val="single" w:color="CCCCCC" w:sz="1"/>
              <w:left w:val="single" w:color="CCCCCC" w:sz="1"/>
              <w:bottom w:val="single" w:color="CCCCCC" w:sz="1"/>
              <w:right w:val="single" w:color="CCCCCC" w:sz="1"/>
            </w:tcBorders>
            <w:shd w:fill="EBF3FA" w:val="clear"/>
            <w:tcMar>
              <w:top w:type="dxa" w:w="100"/>
              <w:left w:type="dxa" w:w="120"/>
              <w:bottom w:type="dxa" w:w="100"/>
              <w:right w:type="dxa" w:w="120"/>
            </w:tcMar>
          </w:tcPr>
          <w:p>
            <w:r>
              <w:rPr>
                <w:rFonts w:ascii="Arial" w:cs="Arial" w:eastAsia="Arial" w:hAnsi="Arial"/>
                <w:sz w:val="22"/>
                <w:szCs w:val="22"/>
              </w:rPr>
              <w:t xml:space="preserve">Individuals may object at any time to the processing of their data for direct marketing or legitimate interest purposes.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1F3864"/>
                <w:sz w:val="22"/>
                <w:szCs w:val="22"/>
              </w:rPr>
              <w:t xml:space="preserve">Right to Restriction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Individuals may request a temporary halt on processing while accuracy or lawfulness is contested.</w:t>
            </w:r>
          </w:p>
        </w:tc>
      </w:tr>
    </w:tbl>
    <w:p>
      <w:r>
        <w:t xml:space="preserve"/>
      </w:r>
    </w:p>
    <w:p>
      <w:pPr>
        <w:pStyle w:val="Heading1"/>
      </w:pPr>
      <w:r>
        <w:rPr>
          <w:rFonts w:ascii="Arial" w:cs="Arial" w:eastAsia="Arial" w:hAnsi="Arial"/>
          <w:b/>
          <w:bCs/>
          <w:sz w:val="32"/>
          <w:szCs w:val="32"/>
        </w:rPr>
        <w:t xml:space="preserve">5. Obligations of Data Controllers</w:t>
      </w:r>
    </w:p>
    <w:p>
      <w:pPr>
        <w:pStyle w:val="Heading2"/>
      </w:pPr>
      <w:r>
        <w:rPr>
          <w:rFonts w:ascii="Arial" w:cs="Arial" w:eastAsia="Arial" w:hAnsi="Arial"/>
          <w:b/>
          <w:bCs/>
          <w:sz w:val="26"/>
          <w:szCs w:val="26"/>
        </w:rPr>
        <w:t xml:space="preserve">5.1 Lawful Basis for Processing</w:t>
      </w:r>
    </w:p>
    <w:p>
      <w:pPr>
        <w:spacing w:after="160"/>
      </w:pPr>
      <w:r>
        <w:rPr>
          <w:rFonts w:ascii="Arial" w:cs="Arial" w:eastAsia="Arial" w:hAnsi="Arial"/>
          <w:sz w:val="22"/>
          <w:szCs w:val="22"/>
        </w:rPr>
        <w:t xml:space="preserve">Data controllers must identify and document a lawful basis before processing personal data. Recognized lawful bases include: explicit consent of the data subject; necessity for the performance of a contract; compliance with a legal obligation; protection of vital interests; performance of a task in the public interest; and legitimate interests pursued by the controller, provided they are not overridden by the data subject's fundamental rights.</w:t>
      </w:r>
    </w:p>
    <w:p>
      <w:pPr>
        <w:pStyle w:val="Heading2"/>
      </w:pPr>
      <w:r>
        <w:rPr>
          <w:rFonts w:ascii="Arial" w:cs="Arial" w:eastAsia="Arial" w:hAnsi="Arial"/>
          <w:b/>
          <w:bCs/>
          <w:sz w:val="26"/>
          <w:szCs w:val="26"/>
        </w:rPr>
        <w:t xml:space="preserve">5.2 Privacy by Design</w:t>
      </w:r>
    </w:p>
    <w:p>
      <w:pPr>
        <w:spacing w:after="160"/>
      </w:pPr>
      <w:r>
        <w:rPr>
          <w:rFonts w:ascii="Arial" w:cs="Arial" w:eastAsia="Arial" w:hAnsi="Arial"/>
          <w:sz w:val="22"/>
          <w:szCs w:val="22"/>
        </w:rPr>
        <w:t xml:space="preserve">Data controllers shall implement appropriate technical and organizational measures both at the time of design and throughout the processing lifecycle to ensure compliance with data protection principles. This includes default privacy-protective settings, end-to-end encryption for sensitive categories, and regular privacy impact assessments.</w:t>
      </w:r>
    </w:p>
    <w:p>
      <w:pPr>
        <w:pStyle w:val="Heading2"/>
      </w:pPr>
      <w:r>
        <w:rPr>
          <w:rFonts w:ascii="Arial" w:cs="Arial" w:eastAsia="Arial" w:hAnsi="Arial"/>
          <w:b/>
          <w:bCs/>
          <w:sz w:val="26"/>
          <w:szCs w:val="26"/>
        </w:rPr>
        <w:t xml:space="preserve">5.3 Data Breach Notification</w:t>
      </w:r>
    </w:p>
    <w:p>
      <w:pPr>
        <w:spacing w:after="160"/>
      </w:pPr>
      <w:r>
        <w:rPr>
          <w:rFonts w:ascii="Arial" w:cs="Arial" w:eastAsia="Arial" w:hAnsi="Arial"/>
          <w:sz w:val="22"/>
          <w:szCs w:val="22"/>
        </w:rPr>
        <w:t xml:space="preserve">In the event of a personal data breach likely to result in a risk to the rights and freedoms of individuals, the data controller shall notify the National Data Protection Authority within 72 hours of becoming aware. Where the breach is likely to result in a high risk, affected data subjects must also be notified without undue delay.</w:t>
      </w:r>
    </w:p>
    <w:p>
      <w:r>
        <w:t xml:space="preserve"/>
      </w:r>
    </w:p>
    <w:p>
      <w:pPr>
        <w:pStyle w:val="Heading1"/>
      </w:pPr>
      <w:r>
        <w:rPr>
          <w:rFonts w:ascii="Arial" w:cs="Arial" w:eastAsia="Arial" w:hAnsi="Arial"/>
          <w:b/>
          <w:bCs/>
          <w:sz w:val="32"/>
          <w:szCs w:val="32"/>
        </w:rPr>
        <w:t xml:space="preserve">6. Cross-Border Data Transfers</w:t>
      </w:r>
    </w:p>
    <w:p>
      <w:pPr>
        <w:spacing w:after="160"/>
      </w:pPr>
      <w:r>
        <w:rPr>
          <w:rFonts w:ascii="Arial" w:cs="Arial" w:eastAsia="Arial" w:hAnsi="Arial"/>
          <w:sz w:val="22"/>
          <w:szCs w:val="22"/>
        </w:rPr>
        <w:t xml:space="preserve">The transfer of personal data to a foreign country or international organization is permitted only under the following conditions:</w:t>
      </w:r>
    </w:p>
    <w:p>
      <w:pPr>
        <w:pStyle w:val="ListParagraph"/>
        <w:numPr>
          <w:ilvl w:val="0"/>
          <w:numId w:val="2"/>
        </w:numPr>
        <w:spacing w:after="100"/>
      </w:pPr>
      <w:r>
        <w:rPr>
          <w:rFonts w:ascii="Arial" w:cs="Arial" w:eastAsia="Arial" w:hAnsi="Arial"/>
          <w:sz w:val="22"/>
          <w:szCs w:val="22"/>
        </w:rPr>
        <w:t xml:space="preserve">The destination country has been granted an adequacy decision by the NDPA based on its level of data protection.</w:t>
      </w:r>
    </w:p>
    <w:p>
      <w:pPr>
        <w:pStyle w:val="ListParagraph"/>
        <w:numPr>
          <w:ilvl w:val="0"/>
          <w:numId w:val="2"/>
        </w:numPr>
        <w:spacing w:after="100"/>
      </w:pPr>
      <w:r>
        <w:rPr>
          <w:rFonts w:ascii="Arial" w:cs="Arial" w:eastAsia="Arial" w:hAnsi="Arial"/>
          <w:sz w:val="22"/>
          <w:szCs w:val="22"/>
        </w:rPr>
        <w:t xml:space="preserve">The transfer is subject to appropriate safeguards such as standard contractual clauses, binding corporate rules, or approved codes of conduct.</w:t>
      </w:r>
    </w:p>
    <w:p>
      <w:pPr>
        <w:pStyle w:val="ListParagraph"/>
        <w:numPr>
          <w:ilvl w:val="0"/>
          <w:numId w:val="2"/>
        </w:numPr>
        <w:spacing w:after="100"/>
      </w:pPr>
      <w:r>
        <w:rPr>
          <w:rFonts w:ascii="Arial" w:cs="Arial" w:eastAsia="Arial" w:hAnsi="Arial"/>
          <w:sz w:val="22"/>
          <w:szCs w:val="22"/>
        </w:rPr>
        <w:t xml:space="preserve">The transfer falls within one of the specific derogations permitted under this policy, such as explicit consent or vital interests.</w:t>
      </w:r>
    </w:p>
    <w:p>
      <w:pPr>
        <w:spacing w:after="160"/>
      </w:pPr>
      <w:r>
        <w:rPr>
          <w:rFonts w:ascii="Arial" w:cs="Arial" w:eastAsia="Arial" w:hAnsi="Arial"/>
          <w:sz w:val="22"/>
          <w:szCs w:val="22"/>
        </w:rPr>
        <w:t xml:space="preserve">Data localization requirements shall apply to critical national infrastructure data, government-held citizen data, and data classified as strategically sensitive. Such data may not be stored or processed outside national territory without express ministerial authorization.</w:t>
      </w:r>
    </w:p>
    <w:p>
      <w:r>
        <w:t xml:space="preserve"/>
      </w:r>
    </w:p>
    <w:p>
      <w:pPr>
        <w:pStyle w:val="Heading1"/>
      </w:pPr>
      <w:r>
        <w:rPr>
          <w:rFonts w:ascii="Arial" w:cs="Arial" w:eastAsia="Arial" w:hAnsi="Arial"/>
          <w:b/>
          <w:bCs/>
          <w:sz w:val="32"/>
          <w:szCs w:val="32"/>
        </w:rPr>
        <w:t xml:space="preserve">7. National Data Protection Authority (NDPA)</w:t>
      </w:r>
    </w:p>
    <w:p>
      <w:pPr>
        <w:spacing w:after="160"/>
      </w:pPr>
      <w:r>
        <w:rPr>
          <w:rFonts w:ascii="Arial" w:cs="Arial" w:eastAsia="Arial" w:hAnsi="Arial"/>
          <w:sz w:val="22"/>
          <w:szCs w:val="22"/>
        </w:rPr>
        <w:t xml:space="preserve">A new independent regulatory body — the National Data Protection Authority — shall be established within 180 days of this policy taking effect. The NDPA shall be headed by a Data Protection Commissioner appointed by the President on the advice of Parliament, serving a non-renewable five-year term.</w:t>
      </w:r>
    </w:p>
    <w:p>
      <w:pPr>
        <w:spacing w:after="160"/>
      </w:pPr>
      <w:r>
        <w:rPr>
          <w:rFonts w:ascii="Arial" w:cs="Arial" w:eastAsia="Arial" w:hAnsi="Arial"/>
          <w:sz w:val="22"/>
          <w:szCs w:val="22"/>
        </w:rPr>
        <w:t xml:space="preserve">The NDPA shall have the power to:</w:t>
      </w:r>
    </w:p>
    <w:p>
      <w:pPr>
        <w:pStyle w:val="ListParagraph"/>
        <w:numPr>
          <w:ilvl w:val="0"/>
          <w:numId w:val="2"/>
        </w:numPr>
        <w:spacing w:after="100"/>
      </w:pPr>
      <w:r>
        <w:rPr>
          <w:rFonts w:ascii="Arial" w:cs="Arial" w:eastAsia="Arial" w:hAnsi="Arial"/>
          <w:sz w:val="22"/>
          <w:szCs w:val="22"/>
        </w:rPr>
        <w:t xml:space="preserve">Investigate complaints from data subjects and conduct audits of data controllers.</w:t>
      </w:r>
    </w:p>
    <w:p>
      <w:pPr>
        <w:pStyle w:val="ListParagraph"/>
        <w:numPr>
          <w:ilvl w:val="0"/>
          <w:numId w:val="2"/>
        </w:numPr>
        <w:spacing w:after="100"/>
      </w:pPr>
      <w:r>
        <w:rPr>
          <w:rFonts w:ascii="Arial" w:cs="Arial" w:eastAsia="Arial" w:hAnsi="Arial"/>
          <w:sz w:val="22"/>
          <w:szCs w:val="22"/>
        </w:rPr>
        <w:t xml:space="preserve">Issue binding orders, warnings, and corrective measures.</w:t>
      </w:r>
    </w:p>
    <w:p>
      <w:pPr>
        <w:pStyle w:val="ListParagraph"/>
        <w:numPr>
          <w:ilvl w:val="0"/>
          <w:numId w:val="2"/>
        </w:numPr>
        <w:spacing w:after="100"/>
      </w:pPr>
      <w:r>
        <w:rPr>
          <w:rFonts w:ascii="Arial" w:cs="Arial" w:eastAsia="Arial" w:hAnsi="Arial"/>
          <w:sz w:val="22"/>
          <w:szCs w:val="22"/>
        </w:rPr>
        <w:t xml:space="preserve">Impose administrative fines of up to 4% of annual global turnover for serious violations.</w:t>
      </w:r>
    </w:p>
    <w:p>
      <w:pPr>
        <w:pStyle w:val="ListParagraph"/>
        <w:numPr>
          <w:ilvl w:val="0"/>
          <w:numId w:val="2"/>
        </w:numPr>
        <w:spacing w:after="100"/>
      </w:pPr>
      <w:r>
        <w:rPr>
          <w:rFonts w:ascii="Arial" w:cs="Arial" w:eastAsia="Arial" w:hAnsi="Arial"/>
          <w:sz w:val="22"/>
          <w:szCs w:val="22"/>
        </w:rPr>
        <w:t xml:space="preserve">Maintain a public register of data controllers and processors.</w:t>
      </w:r>
    </w:p>
    <w:p>
      <w:pPr>
        <w:pStyle w:val="ListParagraph"/>
        <w:numPr>
          <w:ilvl w:val="0"/>
          <w:numId w:val="2"/>
        </w:numPr>
        <w:spacing w:after="100"/>
      </w:pPr>
      <w:r>
        <w:rPr>
          <w:rFonts w:ascii="Arial" w:cs="Arial" w:eastAsia="Arial" w:hAnsi="Arial"/>
          <w:sz w:val="22"/>
          <w:szCs w:val="22"/>
        </w:rPr>
        <w:t xml:space="preserve">Develop codes of conduct and issue guidance to industry sectors.</w:t>
      </w:r>
    </w:p>
    <w:p>
      <w:r>
        <w:t xml:space="preserve"/>
      </w:r>
    </w:p>
    <w:p>
      <w:pPr>
        <w:pStyle w:val="Heading1"/>
      </w:pPr>
      <w:r>
        <w:rPr>
          <w:rFonts w:ascii="Arial" w:cs="Arial" w:eastAsia="Arial" w:hAnsi="Arial"/>
          <w:b/>
          <w:bCs/>
          <w:sz w:val="32"/>
          <w:szCs w:val="32"/>
        </w:rPr>
        <w:t xml:space="preserve">8. Penalties &amp; Enforcement</w:t>
      </w:r>
    </w:p>
    <w:p>
      <w:pPr>
        <w:spacing w:after="160"/>
      </w:pPr>
      <w:r>
        <w:rPr>
          <w:rFonts w:ascii="Arial" w:cs="Arial" w:eastAsia="Arial" w:hAnsi="Arial"/>
          <w:sz w:val="22"/>
          <w:szCs w:val="22"/>
        </w:rPr>
        <w:t xml:space="preserve">Violations of this policy shall be subject to a tiered penalty structure proportionate to the severity, duration, and nature of the infringement:</w:t>
      </w:r>
    </w:p>
    <w:p>
      <w:pPr>
        <w:pStyle w:val="ListParagraph"/>
        <w:numPr>
          <w:ilvl w:val="0"/>
          <w:numId w:val="2"/>
        </w:numPr>
        <w:spacing w:after="100"/>
      </w:pPr>
      <w:r>
        <w:rPr>
          <w:rFonts w:ascii="Arial" w:cs="Arial" w:eastAsia="Arial" w:hAnsi="Arial"/>
          <w:sz w:val="22"/>
          <w:szCs w:val="22"/>
        </w:rPr>
        <w:t xml:space="preserve">Tier 1 — Administrative warnings and corrective action plans for minor procedural non-compliance.</w:t>
      </w:r>
    </w:p>
    <w:p>
      <w:pPr>
        <w:pStyle w:val="ListParagraph"/>
        <w:numPr>
          <w:ilvl w:val="0"/>
          <w:numId w:val="2"/>
        </w:numPr>
        <w:spacing w:after="100"/>
      </w:pPr>
      <w:r>
        <w:rPr>
          <w:rFonts w:ascii="Arial" w:cs="Arial" w:eastAsia="Arial" w:hAnsi="Arial"/>
          <w:sz w:val="22"/>
          <w:szCs w:val="22"/>
        </w:rPr>
        <w:t xml:space="preserve">Tier 2 — Fines of up to 2% of annual global turnover or $500,000 (whichever is higher) for moderate violations including failure to maintain records or appoint a Data Protection Officer.</w:t>
      </w:r>
    </w:p>
    <w:p>
      <w:pPr>
        <w:pStyle w:val="ListParagraph"/>
        <w:numPr>
          <w:ilvl w:val="0"/>
          <w:numId w:val="2"/>
        </w:numPr>
        <w:spacing w:after="100"/>
      </w:pPr>
      <w:r>
        <w:rPr>
          <w:rFonts w:ascii="Arial" w:cs="Arial" w:eastAsia="Arial" w:hAnsi="Arial"/>
          <w:sz w:val="22"/>
          <w:szCs w:val="22"/>
        </w:rPr>
        <w:t xml:space="preserve">Tier 3 — Fines of up to 4% of annual global turnover or $2,000,000 (whichever is higher) for serious violations including unlawful processing of sensitive data or disregarding binding NDPA orders.</w:t>
      </w:r>
    </w:p>
    <w:p>
      <w:pPr>
        <w:pStyle w:val="ListParagraph"/>
        <w:numPr>
          <w:ilvl w:val="0"/>
          <w:numId w:val="2"/>
        </w:numPr>
        <w:spacing w:after="100"/>
      </w:pPr>
      <w:r>
        <w:rPr>
          <w:rFonts w:ascii="Arial" w:cs="Arial" w:eastAsia="Arial" w:hAnsi="Arial"/>
          <w:sz w:val="22"/>
          <w:szCs w:val="22"/>
        </w:rPr>
        <w:t xml:space="preserve">Criminal sanctions including imprisonment of up to 5 years may apply where violations involve willful misuse of personal data, identity theft, or systematic unauthorized surveillance.</w:t>
      </w:r>
    </w:p>
    <w:p>
      <w:r>
        <w:t xml:space="preserve"/>
      </w:r>
    </w:p>
    <w:p>
      <w:pPr>
        <w:pStyle w:val="Heading1"/>
      </w:pPr>
      <w:r>
        <w:rPr>
          <w:rFonts w:ascii="Arial" w:cs="Arial" w:eastAsia="Arial" w:hAnsi="Arial"/>
          <w:b/>
          <w:bCs/>
          <w:sz w:val="32"/>
          <w:szCs w:val="32"/>
        </w:rPr>
        <w:t xml:space="preserve">9. Implementation Timeline</w:t>
      </w:r>
    </w:p>
    <w:p>
      <w:pPr>
        <w:spacing w:after="160"/>
      </w:pPr>
      <w:r>
        <w:rPr>
          <w:rFonts w:ascii="Arial" w:cs="Arial" w:eastAsia="Arial" w:hAnsi="Arial"/>
          <w:sz w:val="22"/>
          <w:szCs w:val="22"/>
        </w:rPr>
        <w:t xml:space="preserve">The following phased implementation schedule shall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2"/>
                <w:szCs w:val="22"/>
              </w:rPr>
              <w:t xml:space="preserve">Phase</w:t>
            </w:r>
          </w:p>
        </w:tc>
        <w:tc>
          <w:tcPr>
            <w:tcW w:type="dxa" w:w="4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2"/>
                <w:szCs w:val="22"/>
              </w:rPr>
              <w:t xml:space="preserve">Milestone</w:t>
            </w:r>
          </w:p>
        </w:tc>
        <w:tc>
          <w:tcPr>
            <w:tcW w:type="dxa" w:w="28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2"/>
                <w:szCs w:val="22"/>
              </w:rPr>
              <w:t xml:space="preserve">Target Date</w:t>
            </w:r>
          </w:p>
        </w:tc>
      </w:tr>
      <w:tr>
        <w:tc>
          <w:tcPr>
            <w:tcW w:type="dxa" w:w="2500"/>
            <w:tcBorders>
              <w:top w:val="single" w:color="CCCCCC" w:sz="1"/>
              <w:left w:val="single" w:color="CCCCCC" w:sz="1"/>
              <w:bottom w:val="single" w:color="CCCCCC" w:sz="1"/>
              <w:right w:val="single" w:color="CCCCCC" w:sz="1"/>
            </w:tcBorders>
            <w:shd w:fill="EBF3FA" w:val="clear"/>
            <w:tcMar>
              <w:top w:type="dxa" w:w="100"/>
              <w:left w:type="dxa" w:w="120"/>
              <w:bottom w:type="dxa" w:w="100"/>
              <w:right w:type="dxa" w:w="120"/>
            </w:tcMar>
          </w:tcPr>
          <w:p>
            <w:r>
              <w:rPr>
                <w:rFonts w:ascii="Arial" w:cs="Arial" w:eastAsia="Arial" w:hAnsi="Arial"/>
                <w:b/>
                <w:bCs/>
                <w:sz w:val="22"/>
                <w:szCs w:val="22"/>
              </w:rPr>
              <w:t xml:space="preserve">Phase 1</w:t>
            </w:r>
          </w:p>
        </w:tc>
        <w:tc>
          <w:tcPr>
            <w:tcW w:type="dxa" w:w="4000"/>
            <w:tcBorders>
              <w:top w:val="single" w:color="CCCCCC" w:sz="1"/>
              <w:left w:val="single" w:color="CCCCCC" w:sz="1"/>
              <w:bottom w:val="single" w:color="CCCCCC" w:sz="1"/>
              <w:right w:val="single" w:color="CCCCCC" w:sz="1"/>
            </w:tcBorders>
            <w:shd w:fill="EBF3FA" w:val="clear"/>
            <w:tcMar>
              <w:top w:type="dxa" w:w="100"/>
              <w:left w:type="dxa" w:w="120"/>
              <w:bottom w:type="dxa" w:w="100"/>
              <w:right w:type="dxa" w:w="120"/>
            </w:tcMar>
          </w:tcPr>
          <w:p>
            <w:r>
              <w:rPr>
                <w:rFonts w:ascii="Arial" w:cs="Arial" w:eastAsia="Arial" w:hAnsi="Arial"/>
                <w:sz w:val="22"/>
                <w:szCs w:val="22"/>
              </w:rPr>
              <w:t xml:space="preserve">Public consultation period closes; NDPA established</w:t>
            </w:r>
          </w:p>
        </w:tc>
        <w:tc>
          <w:tcPr>
            <w:tcW w:type="dxa" w:w="2860"/>
            <w:tcBorders>
              <w:top w:val="single" w:color="CCCCCC" w:sz="1"/>
              <w:left w:val="single" w:color="CCCCCC" w:sz="1"/>
              <w:bottom w:val="single" w:color="CCCCCC" w:sz="1"/>
              <w:right w:val="single" w:color="CCCCCC" w:sz="1"/>
            </w:tcBorders>
            <w:shd w:fill="EBF3FA" w:val="clear"/>
            <w:tcMar>
              <w:top w:type="dxa" w:w="100"/>
              <w:left w:type="dxa" w:w="120"/>
              <w:bottom w:type="dxa" w:w="100"/>
              <w:right w:type="dxa" w:w="120"/>
            </w:tcMar>
          </w:tcPr>
          <w:p>
            <w:r>
              <w:rPr>
                <w:rFonts w:ascii="Arial" w:cs="Arial" w:eastAsia="Arial" w:hAnsi="Arial"/>
                <w:sz w:val="22"/>
                <w:szCs w:val="22"/>
              </w:rPr>
              <w:t xml:space="preserve">August 17, 2026</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2"/>
                <w:szCs w:val="22"/>
              </w:rPr>
              <w:t xml:space="preserve">Phase 2</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Data Protection Commissioner appointed; guidance issued</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October 1, 2026</w:t>
            </w:r>
          </w:p>
        </w:tc>
      </w:tr>
      <w:tr>
        <w:tc>
          <w:tcPr>
            <w:tcW w:type="dxa" w:w="2500"/>
            <w:tcBorders>
              <w:top w:val="single" w:color="CCCCCC" w:sz="1"/>
              <w:left w:val="single" w:color="CCCCCC" w:sz="1"/>
              <w:bottom w:val="single" w:color="CCCCCC" w:sz="1"/>
              <w:right w:val="single" w:color="CCCCCC" w:sz="1"/>
            </w:tcBorders>
            <w:shd w:fill="EBF3FA" w:val="clear"/>
            <w:tcMar>
              <w:top w:type="dxa" w:w="100"/>
              <w:left w:type="dxa" w:w="120"/>
              <w:bottom w:type="dxa" w:w="100"/>
              <w:right w:type="dxa" w:w="120"/>
            </w:tcMar>
          </w:tcPr>
          <w:p>
            <w:r>
              <w:rPr>
                <w:rFonts w:ascii="Arial" w:cs="Arial" w:eastAsia="Arial" w:hAnsi="Arial"/>
                <w:b/>
                <w:bCs/>
                <w:sz w:val="22"/>
                <w:szCs w:val="22"/>
              </w:rPr>
              <w:t xml:space="preserve">Phase 3</w:t>
            </w:r>
          </w:p>
        </w:tc>
        <w:tc>
          <w:tcPr>
            <w:tcW w:type="dxa" w:w="4000"/>
            <w:tcBorders>
              <w:top w:val="single" w:color="CCCCCC" w:sz="1"/>
              <w:left w:val="single" w:color="CCCCCC" w:sz="1"/>
              <w:bottom w:val="single" w:color="CCCCCC" w:sz="1"/>
              <w:right w:val="single" w:color="CCCCCC" w:sz="1"/>
            </w:tcBorders>
            <w:shd w:fill="EBF3FA" w:val="clear"/>
            <w:tcMar>
              <w:top w:type="dxa" w:w="100"/>
              <w:left w:type="dxa" w:w="120"/>
              <w:bottom w:type="dxa" w:w="100"/>
              <w:right w:type="dxa" w:w="120"/>
            </w:tcMar>
          </w:tcPr>
          <w:p>
            <w:r>
              <w:rPr>
                <w:rFonts w:ascii="Arial" w:cs="Arial" w:eastAsia="Arial" w:hAnsi="Arial"/>
                <w:sz w:val="22"/>
                <w:szCs w:val="22"/>
              </w:rPr>
              <w:t xml:space="preserve">Policy takes full legal effect; registration of controllers opens</w:t>
            </w:r>
          </w:p>
        </w:tc>
        <w:tc>
          <w:tcPr>
            <w:tcW w:type="dxa" w:w="2860"/>
            <w:tcBorders>
              <w:top w:val="single" w:color="CCCCCC" w:sz="1"/>
              <w:left w:val="single" w:color="CCCCCC" w:sz="1"/>
              <w:bottom w:val="single" w:color="CCCCCC" w:sz="1"/>
              <w:right w:val="single" w:color="CCCCCC" w:sz="1"/>
            </w:tcBorders>
            <w:shd w:fill="EBF3FA" w:val="clear"/>
            <w:tcMar>
              <w:top w:type="dxa" w:w="100"/>
              <w:left w:type="dxa" w:w="120"/>
              <w:bottom w:type="dxa" w:w="100"/>
              <w:right w:type="dxa" w:w="120"/>
            </w:tcMar>
          </w:tcPr>
          <w:p>
            <w:r>
              <w:rPr>
                <w:rFonts w:ascii="Arial" w:cs="Arial" w:eastAsia="Arial" w:hAnsi="Arial"/>
                <w:sz w:val="22"/>
                <w:szCs w:val="22"/>
              </w:rPr>
              <w:t xml:space="preserve">January 1, 2027</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2"/>
                <w:szCs w:val="22"/>
              </w:rPr>
              <w:t xml:space="preserve">Phase 4</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Active enforcement and audit programme begins</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July 1, 2027</w:t>
            </w:r>
          </w:p>
        </w:tc>
      </w:tr>
      <w:tr>
        <w:tc>
          <w:tcPr>
            <w:tcW w:type="dxa" w:w="2500"/>
            <w:tcBorders>
              <w:top w:val="single" w:color="CCCCCC" w:sz="1"/>
              <w:left w:val="single" w:color="CCCCCC" w:sz="1"/>
              <w:bottom w:val="single" w:color="CCCCCC" w:sz="1"/>
              <w:right w:val="single" w:color="CCCCCC" w:sz="1"/>
            </w:tcBorders>
            <w:shd w:fill="EBF3FA" w:val="clear"/>
            <w:tcMar>
              <w:top w:type="dxa" w:w="100"/>
              <w:left w:type="dxa" w:w="120"/>
              <w:bottom w:type="dxa" w:w="100"/>
              <w:right w:type="dxa" w:w="120"/>
            </w:tcMar>
          </w:tcPr>
          <w:p>
            <w:r>
              <w:rPr>
                <w:rFonts w:ascii="Arial" w:cs="Arial" w:eastAsia="Arial" w:hAnsi="Arial"/>
                <w:b/>
                <w:bCs/>
                <w:sz w:val="22"/>
                <w:szCs w:val="22"/>
              </w:rPr>
              <w:t xml:space="preserve">Phase 5</w:t>
            </w:r>
          </w:p>
        </w:tc>
        <w:tc>
          <w:tcPr>
            <w:tcW w:type="dxa" w:w="4000"/>
            <w:tcBorders>
              <w:top w:val="single" w:color="CCCCCC" w:sz="1"/>
              <w:left w:val="single" w:color="CCCCCC" w:sz="1"/>
              <w:bottom w:val="single" w:color="CCCCCC" w:sz="1"/>
              <w:right w:val="single" w:color="CCCCCC" w:sz="1"/>
            </w:tcBorders>
            <w:shd w:fill="EBF3FA" w:val="clear"/>
            <w:tcMar>
              <w:top w:type="dxa" w:w="100"/>
              <w:left w:type="dxa" w:w="120"/>
              <w:bottom w:type="dxa" w:w="100"/>
              <w:right w:type="dxa" w:w="120"/>
            </w:tcMar>
          </w:tcPr>
          <w:p>
            <w:r>
              <w:rPr>
                <w:rFonts w:ascii="Arial" w:cs="Arial" w:eastAsia="Arial" w:hAnsi="Arial"/>
                <w:sz w:val="22"/>
                <w:szCs w:val="22"/>
              </w:rPr>
              <w:t xml:space="preserve">First mandatory policy review and impact assessment</w:t>
            </w:r>
          </w:p>
        </w:tc>
        <w:tc>
          <w:tcPr>
            <w:tcW w:type="dxa" w:w="2860"/>
            <w:tcBorders>
              <w:top w:val="single" w:color="CCCCCC" w:sz="1"/>
              <w:left w:val="single" w:color="CCCCCC" w:sz="1"/>
              <w:bottom w:val="single" w:color="CCCCCC" w:sz="1"/>
              <w:right w:val="single" w:color="CCCCCC" w:sz="1"/>
            </w:tcBorders>
            <w:shd w:fill="EBF3FA" w:val="clear"/>
            <w:tcMar>
              <w:top w:type="dxa" w:w="100"/>
              <w:left w:type="dxa" w:w="120"/>
              <w:bottom w:type="dxa" w:w="100"/>
              <w:right w:type="dxa" w:w="120"/>
            </w:tcMar>
          </w:tcPr>
          <w:p>
            <w:r>
              <w:rPr>
                <w:rFonts w:ascii="Arial" w:cs="Arial" w:eastAsia="Arial" w:hAnsi="Arial"/>
                <w:sz w:val="22"/>
                <w:szCs w:val="22"/>
              </w:rPr>
              <w:t xml:space="preserve">July 1, 2028</w:t>
            </w:r>
          </w:p>
        </w:tc>
      </w:tr>
    </w:tbl>
    <w:p>
      <w:r>
        <w:t xml:space="preserve"/>
      </w:r>
    </w:p>
    <w:p>
      <w:pPr>
        <w:pStyle w:val="Heading1"/>
      </w:pPr>
      <w:r>
        <w:rPr>
          <w:rFonts w:ascii="Arial" w:cs="Arial" w:eastAsia="Arial" w:hAnsi="Arial"/>
          <w:b/>
          <w:bCs/>
          <w:sz w:val="32"/>
          <w:szCs w:val="32"/>
        </w:rPr>
        <w:t xml:space="preserve">10. How to Submit Public Comments</w:t>
      </w:r>
    </w:p>
    <w:p>
      <w:pPr>
        <w:spacing w:after="160"/>
      </w:pPr>
      <w:r>
        <w:rPr>
          <w:rFonts w:ascii="Arial" w:cs="Arial" w:eastAsia="Arial" w:hAnsi="Arial"/>
          <w:sz w:val="22"/>
          <w:szCs w:val="22"/>
        </w:rPr>
        <w:t xml:space="preserve">Citizens and stakeholders are invited to submit their views on this policy during the public consultation period (June 17 – August 17, 2026). Comments may be submitted via:</w:t>
      </w:r>
    </w:p>
    <w:p>
      <w:pPr>
        <w:pStyle w:val="ListParagraph"/>
        <w:numPr>
          <w:ilvl w:val="0"/>
          <w:numId w:val="2"/>
        </w:numPr>
        <w:spacing w:after="100"/>
      </w:pPr>
      <w:r>
        <w:rPr>
          <w:rFonts w:ascii="Arial" w:cs="Arial" w:eastAsia="Arial" w:hAnsi="Arial"/>
          <w:sz w:val="22"/>
          <w:szCs w:val="22"/>
        </w:rPr>
        <w:t xml:space="preserve">Online portal: www.digitalaffairs.gov/consultation/MDA-2026-07</w:t>
      </w:r>
    </w:p>
    <w:p>
      <w:pPr>
        <w:pStyle w:val="ListParagraph"/>
        <w:numPr>
          <w:ilvl w:val="0"/>
          <w:numId w:val="2"/>
        </w:numPr>
        <w:spacing w:after="100"/>
      </w:pPr>
      <w:r>
        <w:rPr>
          <w:rFonts w:ascii="Arial" w:cs="Arial" w:eastAsia="Arial" w:hAnsi="Arial"/>
          <w:sz w:val="22"/>
          <w:szCs w:val="22"/>
        </w:rPr>
        <w:t xml:space="preserve">Email: policyconsultation@digitalaffairs.gov</w:t>
      </w:r>
    </w:p>
    <w:p>
      <w:pPr>
        <w:pStyle w:val="ListParagraph"/>
        <w:numPr>
          <w:ilvl w:val="0"/>
          <w:numId w:val="2"/>
        </w:numPr>
        <w:spacing w:after="100"/>
      </w:pPr>
      <w:r>
        <w:rPr>
          <w:rFonts w:ascii="Arial" w:cs="Arial" w:eastAsia="Arial" w:hAnsi="Arial"/>
          <w:sz w:val="22"/>
          <w:szCs w:val="22"/>
        </w:rPr>
        <w:t xml:space="preserve">Written submission: Ministry of Digital Affairs, Data Policy Division, 1 Government Square, Capital City</w:t>
      </w:r>
    </w:p>
    <w:p>
      <w:pPr>
        <w:spacing w:after="160"/>
      </w:pPr>
      <w:r>
        <w:rPr>
          <w:rFonts w:ascii="Arial" w:cs="Arial" w:eastAsia="Arial" w:hAnsi="Arial"/>
          <w:sz w:val="22"/>
          <w:szCs w:val="22"/>
        </w:rPr>
        <w:t xml:space="preserve">All submissions become part of the public record unless the submitter requests confidentiality. The Ministry will publish a summary of responses and indicate how public comments have been considered in the final policy.</w:t>
      </w:r>
    </w:p>
    <w:p>
      <w:r>
        <w:t xml:space="preserve"/>
      </w:r>
    </w:p>
    <w:p>
      <w:pPr>
        <w:pBdr>
          <w:top w:val="single" w:color="2E75B6" w:sz="6" w:space="4"/>
        </w:pBdr>
        <w:spacing w:before="400"/>
      </w:pPr>
      <w:r>
        <w:rPr>
          <w:rFonts w:ascii="Arial" w:cs="Arial" w:eastAsia="Arial" w:hAnsi="Arial"/>
          <w:i/>
          <w:iCs/>
          <w:color w:val="555555"/>
          <w:sz w:val="18"/>
          <w:szCs w:val="18"/>
        </w:rPr>
        <w:t xml:space="preserve">DISCLAIMER: This is a public consultation draft. It does not constitute final government policy or law. The Ministry of Digital Affairs reserves the right to revise, amend, or withdraw this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center"/>
    </w:pPr>
    <w:r>
      <w:rPr>
        <w:rFonts w:ascii="Arial" w:cs="Arial" w:eastAsia="Arial" w:hAnsi="Arial"/>
        <w:color w:val="888888"/>
        <w:sz w:val="18"/>
        <w:szCs w:val="18"/>
      </w:rPr>
      <w:t xml:space="preserve">Ministry of Digital Affairs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b/>
        <w:bCs/>
        <w:color w:val="1F3864"/>
        <w:sz w:val="18"/>
        <w:szCs w:val="18"/>
      </w:rPr>
      <w:t xml:space="preserve">NATIONAL DIGITAL DATA PRIVACY &amp; PROTECTION POLICY</w:t>
    </w:r>
    <w:r>
      <w:rPr>
        <w:rFonts w:ascii="Arial" w:cs="Arial" w:eastAsia="Arial" w:hAnsi="Arial"/>
        <w:color w:val="888888"/>
        <w:sz w:val="18"/>
        <w:szCs w:val="18"/>
      </w:rPr>
      <w:t xml:space="preserve">  |  Issued: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2026-06-17T07:18:22.593Z</dcterms:created>
  <dcterms:modified xsi:type="dcterms:W3CDTF">2026-06-17T07:18:22.594Z</dcterms:modified>
</cp:coreProperties>
</file>

<file path=docProps/custom.xml><?xml version="1.0" encoding="utf-8"?>
<Properties xmlns="http://schemas.openxmlformats.org/officeDocument/2006/custom-properties" xmlns:vt="http://schemas.openxmlformats.org/officeDocument/2006/docPropsVTypes"/>
</file>