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Editor-in-Chief</w:t>
      </w:r>
      <w:r>
        <w:t xml:space="preserve"> </w:t>
      </w:r>
      <w:r>
        <w:rPr>
          <w:iCs/>
          <w:i/>
        </w:rPr>
        <w:t xml:space="preserve">International Journal of Heat and Mass Transfer</w:t>
      </w:r>
    </w:p>
    <w:p>
      <w:pPr>
        <w:pStyle w:val="BodyText"/>
      </w:pPr>
      <w:r>
        <w:t xml:space="preserve">Dear Editor,</w:t>
      </w:r>
    </w:p>
    <w:p>
      <w:pPr>
        <w:pStyle w:val="BodyText"/>
      </w:pPr>
      <w:r>
        <w:t xml:space="preserve">We submit the manuscript</w:t>
      </w:r>
      <w:r>
        <w:t xml:space="preserve"> </w:t>
      </w:r>
      <w:r>
        <w:rPr>
          <w:bCs/>
          <w:b/>
        </w:rPr>
        <w:t xml:space="preserve">“</w:t>
      </w:r>
      <w:r>
        <w:rPr>
          <w:bCs/>
          <w:b/>
        </w:rPr>
        <w:t xml:space="preserve">Finite-gap corrections for homogenized TPMS lattices and the multi-objective design of a graded cooling jacket for an electric motor</w:t>
      </w:r>
      <w:r>
        <w:rPr>
          <w:bCs/>
          <w:b/>
        </w:rPr>
        <w:t xml:space="preserve">”</w:t>
      </w:r>
      <w:r>
        <w:t xml:space="preserve"> </w:t>
      </w:r>
      <w:r>
        <w:t xml:space="preserve">for consideration as a research article in the</w:t>
      </w:r>
      <w:r>
        <w:t xml:space="preserve"> </w:t>
      </w:r>
      <w:r>
        <w:rPr>
          <w:iCs/>
          <w:i/>
        </w:rPr>
        <w:t xml:space="preserve">International Journal of Heat and Mass Transfer</w:t>
      </w:r>
      <w:r>
        <w:t xml:space="preserve">.</w:t>
      </w:r>
    </w:p>
    <w:p>
      <w:pPr>
        <w:pStyle w:val="BodyText"/>
      </w:pPr>
      <w:r>
        <w:t xml:space="preserve">Graded lattices based on triply periodic minimal surfaces (TPMS) are designed almost exclusively with homogenized closures computed on periodic unit cells. In compact devices such as motor cooling jackets, however, only one to three cells fit across the coolant gap. We give what we believe is the first systematic quantification of the resulting error. Bulk closures over-predict the in-plane permeability of gyroid and diamond lattices by 23–40% when one cell spans the gap, the error scales cleanly with 1/N, and a one-coefficient correction removes it to within the scatter caused by the position of the cut. The through-gap conductivity is almost unaffected. We then use corrected closures in a verified, sub-second device model to optimize a graded jacket for a 15 kW electric motor against tuned baselines at equal pumping power, and we compare the sample efficiency of NSGA-II and batch Bayesian optimization on the same problem.</w:t>
      </w:r>
    </w:p>
    <w:p>
      <w:pPr>
        <w:pStyle w:val="BodyText"/>
      </w:pPr>
      <w:r>
        <w:t xml:space="preserve">The work fits the journal’s scope in porous-media heat and mass transfer and in the thermal design of heat exchangers. All solvers are verified against exact and published solutions; our permeabilities agree with body-fitted CFD from the literature to within 2%. The study is computational, and its limitations, in particular the use of literature correlations for the inertial and interstitial heat-transfer closures, are stated explicitly. The complete code and data are openly available.</w:t>
      </w:r>
    </w:p>
    <w:p>
      <w:pPr>
        <w:pStyle w:val="BodyText"/>
      </w:pPr>
      <w:r>
        <w:t xml:space="preserve">This manuscript has not been published and is not under consideration elsewhere. All authors have approved the submission and declare no competing interests.</w:t>
      </w:r>
    </w:p>
    <w:p>
      <w:pPr>
        <w:pStyle w:val="BodyText"/>
      </w:pPr>
      <w:r>
        <w:t xml:space="preserve">Yours sincerely,</w:t>
      </w:r>
    </w:p>
    <w:p>
      <w:pPr>
        <w:pStyle w:val="BodyText"/>
      </w:pPr>
      <w:r>
        <w:t xml:space="preserve">Zain ul Abiden (corresponding author), on behalf of all authors</w:t>
      </w:r>
      <w:r>
        <w:t xml:space="preserve"> </w:t>
      </w:r>
      <w:r>
        <w:t xml:space="preserve">Department of Aerospace Engineering, School of Mechanical and Manufacturing Engineering (SMME)</w:t>
      </w:r>
      <w:r>
        <w:t xml:space="preserve"> </w:t>
      </w:r>
      <w:r>
        <w:t xml:space="preserve">National University of Sciences and Technology (NUST), Islamabad, Pakistan</w:t>
      </w:r>
      <w:r>
        <w:t xml:space="preserve"> </w:t>
      </w:r>
      <w:r>
        <w:t xml:space="preserve">zabiden.ug23smme@student.nust.edu.pk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Zain ul Abiden; Ahmed Mukhtar Bukhari</dc:creator>
  <cp:keywords/>
  <dcterms:created xsi:type="dcterms:W3CDTF">2026-10-16T19:52:33Z</dcterms:created>
  <dcterms:modified xsi:type="dcterms:W3CDTF">2026-10-16T19:52:33Z</dcterms:modified>
  <cp:lastModifiedBy>Zain ul Abiden</cp:lastModifiedBy>
</cp:coreProperties>
</file>

<file path=docProps/custom.xml><?xml version="1.0" encoding="utf-8"?>
<Properties xmlns="http://schemas.openxmlformats.org/officeDocument/2006/custom-properties" xmlns:vt="http://schemas.openxmlformats.org/officeDocument/2006/docPropsVTypes"/>
</file>