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400"/>
        <w:jc w:val="center"/>
      </w:pPr>
      <w:r>
        <w:rPr>
          <w:rFonts w:ascii="Arial" w:cs="Arial" w:eastAsia="Arial" w:hAnsi="Arial"/>
          <w:color w:val="555555"/>
          <w:sz w:val="24"/>
          <w:szCs w:val="24"/>
        </w:rPr>
        <w:t xml:space="preserve">Bank of Bahrain and Kuwait</w:t>
      </w:r>
    </w:p>
    <w:p>
      <w:pPr>
        <w:pBdr>
          <w:bottom w:val="single" w:color="2E75B6" w:sz="6" w:space="1"/>
        </w:pBdr>
        <w:spacing w:before="120" w:after="120"/>
      </w:pPr>
      <w:r>
        <w:t xml:space="preserve"/>
      </w:r>
    </w:p>
    <w:p>
      <w:pPr>
        <w:spacing w:before="400" w:after="120"/>
        <w:jc w:val="center"/>
      </w:pPr>
      <w:r>
        <w:rPr>
          <w:rFonts w:ascii="Arial" w:cs="Arial" w:eastAsia="Arial" w:hAnsi="Arial"/>
          <w:b/>
          <w:bCs/>
          <w:color w:val="1A1A1A"/>
          <w:sz w:val="38"/>
          <w:szCs w:val="38"/>
        </w:rPr>
        <w:t xml:space="preserve">Customer Data Handling Procedure</w:t>
      </w:r>
    </w:p>
    <w:p>
      <w:pPr>
        <w:spacing w:before="0" w:after="600"/>
        <w:jc w:val="center"/>
      </w:pPr>
      <w:r>
        <w:rPr>
          <w:rFonts w:ascii="Arial" w:cs="Arial" w:eastAsia="Arial" w:hAnsi="Arial"/>
          <w:i/>
          <w:iCs/>
          <w:color w:val="888888"/>
          <w:sz w:val="20"/>
          <w:szCs w:val="20"/>
        </w:rPr>
        <w:t xml:space="preserve">Internal Policy Document — Confidential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BBK-CSD-002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2022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 Banking Division</w:t>
            </w:r>
          </w:p>
        </w:tc>
      </w:tr>
    </w:tbl>
    <w:p>
      <w:pPr>
        <w:pageBreakBefore/>
      </w:pPr>
      <w:r>
        <w:t xml:space="preserve"/>
      </w:r>
    </w:p>
    <w:p>
      <w:pPr>
        <w:spacing w:before="60" w:after="60"/>
      </w:pPr>
      <w:r>
        <w:rPr>
          <w:rFonts w:ascii="Arial" w:cs="Arial" w:eastAsia="Arial" w:hAnsi="Arial"/>
          <w:sz w:val="20"/>
          <w:szCs w:val="20"/>
        </w:rPr>
        <w:t xml:space="preserve">This procedure provides guidance to Retail Banking staff on handling customer data in day-to-day operations. It should be read alongside the BBK Customer Service Standards.</w:t>
      </w:r>
    </w:p>
    <w:p>
      <w:r>
        <w:t xml:space="preserve"/>
      </w:r>
    </w:p>
    <w:p>
      <w:pPr>
        <w:pStyle w:val="Heading1"/>
        <w:spacing w:before="360" w:after="120"/>
      </w:pPr>
      <w:r>
        <w:rPr>
          <w:rFonts w:ascii="Arial" w:cs="Arial" w:eastAsia="Arial" w:hAnsi="Arial"/>
          <w:b/>
          <w:bCs/>
          <w:color w:val="1F4E79"/>
          <w:sz w:val="32"/>
          <w:szCs w:val="32"/>
        </w:rPr>
        <w:t xml:space="preserve">1. What is Customer Data?</w:t>
      </w:r>
    </w:p>
    <w:p>
      <w:pPr>
        <w:spacing w:before="60" w:after="60"/>
      </w:pPr>
      <w:r>
        <w:rPr>
          <w:rFonts w:ascii="Arial" w:cs="Arial" w:eastAsia="Arial" w:hAnsi="Arial"/>
          <w:sz w:val="20"/>
          <w:szCs w:val="20"/>
        </w:rPr>
        <w:t xml:space="preserve">For the purposes of this procedure, customer data includes: names, addresses, contact numbers, email addresses, account numbers, and transaction history. This procedure applies to all Retail Banking staff.</w:t>
      </w:r>
    </w:p>
    <w:p>
      <w:r>
        <w:t xml:space="preserve"/>
      </w:r>
    </w:p>
    <w:p>
      <w:pPr>
        <w:pStyle w:val="Heading1"/>
        <w:spacing w:before="360" w:after="120"/>
      </w:pPr>
      <w:r>
        <w:rPr>
          <w:rFonts w:ascii="Arial" w:cs="Arial" w:eastAsia="Arial" w:hAnsi="Arial"/>
          <w:b/>
          <w:bCs/>
          <w:color w:val="1F4E79"/>
          <w:sz w:val="32"/>
          <w:szCs w:val="32"/>
        </w:rPr>
        <w:t xml:space="preserve">2. Data Classification</w:t>
      </w:r>
    </w:p>
    <w:p>
      <w:pPr>
        <w:spacing w:before="60" w:after="60"/>
      </w:pPr>
      <w:r>
        <w:rPr>
          <w:rFonts w:ascii="Arial" w:cs="Arial" w:eastAsia="Arial" w:hAnsi="Arial"/>
          <w:sz w:val="20"/>
          <w:szCs w:val="20"/>
        </w:rPr>
        <w:t xml:space="preserve">Customer data held by the Retail Banking Division is classified as Internal Use Only. This means it should be kept within the bank but does not require the same level of restriction as strictly confidential information.</w:t>
      </w:r>
    </w:p>
    <w:p>
      <w:r>
        <w:t xml:space="preserve"/>
      </w:r>
    </w:p>
    <w:p>
      <w:pPr>
        <w:pStyle w:val="Heading1"/>
        <w:spacing w:before="360" w:after="120"/>
      </w:pPr>
      <w:r>
        <w:rPr>
          <w:rFonts w:ascii="Arial" w:cs="Arial" w:eastAsia="Arial" w:hAnsi="Arial"/>
          <w:b/>
          <w:bCs/>
          <w:color w:val="1F4E79"/>
          <w:sz w:val="32"/>
          <w:szCs w:val="32"/>
        </w:rPr>
        <w:t xml:space="preserve">3. Storing Customer Data</w:t>
      </w:r>
    </w:p>
    <w:p>
      <w:pPr>
        <w:pStyle w:val="ListParagraph"/>
        <w:numPr>
          <w:ilvl w:val="0"/>
          <w:numId w:val="2"/>
        </w:numPr>
        <w:spacing w:before="40" w:after="40"/>
      </w:pPr>
      <w:r>
        <w:rPr>
          <w:rFonts w:ascii="Arial" w:cs="Arial" w:eastAsia="Arial" w:hAnsi="Arial"/>
          <w:sz w:val="20"/>
          <w:szCs w:val="20"/>
        </w:rPr>
        <w:t xml:space="preserve">Customer records should be saved in the shared Retail Banking drive under the relevant customer folder.</w:t>
      </w:r>
    </w:p>
    <w:p>
      <w:pPr>
        <w:pStyle w:val="ListParagraph"/>
        <w:numPr>
          <w:ilvl w:val="0"/>
          <w:numId w:val="2"/>
        </w:numPr>
        <w:spacing w:before="40" w:after="40"/>
      </w:pPr>
      <w:r>
        <w:rPr>
          <w:rFonts w:ascii="Arial" w:cs="Arial" w:eastAsia="Arial" w:hAnsi="Arial"/>
          <w:sz w:val="20"/>
          <w:szCs w:val="20"/>
        </w:rPr>
        <w:t xml:space="preserve">Physical documents may be kept in desk drawers or filing cabinets in the branch.</w:t>
      </w:r>
    </w:p>
    <w:p>
      <w:pPr>
        <w:pStyle w:val="ListParagraph"/>
        <w:numPr>
          <w:ilvl w:val="0"/>
          <w:numId w:val="2"/>
        </w:numPr>
        <w:spacing w:before="40" w:after="40"/>
      </w:pPr>
      <w:r>
        <w:rPr>
          <w:rFonts w:ascii="Arial" w:cs="Arial" w:eastAsia="Arial" w:hAnsi="Arial"/>
          <w:sz w:val="20"/>
          <w:szCs w:val="20"/>
        </w:rPr>
        <w:t xml:space="preserve">Staff should avoid saving customer data to personal devices where possible.</w:t>
      </w:r>
    </w:p>
    <w:p>
      <w:r>
        <w:t xml:space="preserve"/>
      </w:r>
    </w:p>
    <w:p>
      <w:pPr>
        <w:pStyle w:val="Heading1"/>
        <w:spacing w:before="360" w:after="120"/>
      </w:pPr>
      <w:r>
        <w:rPr>
          <w:rFonts w:ascii="Arial" w:cs="Arial" w:eastAsia="Arial" w:hAnsi="Arial"/>
          <w:b/>
          <w:bCs/>
          <w:color w:val="1F4E79"/>
          <w:sz w:val="32"/>
          <w:szCs w:val="32"/>
        </w:rPr>
        <w:t xml:space="preserve">4. Sharing Customer Data</w:t>
      </w:r>
    </w:p>
    <w:p>
      <w:pPr>
        <w:spacing w:before="60" w:after="60"/>
      </w:pPr>
      <w:r>
        <w:rPr>
          <w:rFonts w:ascii="Arial" w:cs="Arial" w:eastAsia="Arial" w:hAnsi="Arial"/>
          <w:sz w:val="20"/>
          <w:szCs w:val="20"/>
        </w:rPr>
        <w:t xml:space="preserve">From time to time, staff may need to share customer data with other parties. The following guidance applies:</w:t>
      </w:r>
    </w:p>
    <w:p>
      <w:pPr>
        <w:pStyle w:val="Heading2"/>
        <w:spacing w:before="240" w:after="80"/>
      </w:pPr>
      <w:r>
        <w:rPr>
          <w:rFonts w:ascii="Arial" w:cs="Arial" w:eastAsia="Arial" w:hAnsi="Arial"/>
          <w:b/>
          <w:bCs/>
          <w:color w:val="2E75B6"/>
          <w:sz w:val="26"/>
          <w:szCs w:val="26"/>
        </w:rPr>
        <w:t xml:space="preserve">4.1 Internal Sharing</w:t>
      </w:r>
    </w:p>
    <w:p>
      <w:pPr>
        <w:spacing w:before="60" w:after="60"/>
      </w:pPr>
      <w:r>
        <w:rPr>
          <w:rFonts w:ascii="Arial" w:cs="Arial" w:eastAsia="Arial" w:hAnsi="Arial"/>
          <w:sz w:val="20"/>
          <w:szCs w:val="20"/>
        </w:rPr>
        <w:t xml:space="preserve">Customer data may be shared freely with colleagues within the Retail Banking Division and with other BBK divisions where there is a business need.</w:t>
      </w:r>
    </w:p>
    <w:p>
      <w:pPr>
        <w:pStyle w:val="Heading2"/>
        <w:spacing w:before="240" w:after="80"/>
      </w:pPr>
      <w:r>
        <w:rPr>
          <w:rFonts w:ascii="Arial" w:cs="Arial" w:eastAsia="Arial" w:hAnsi="Arial"/>
          <w:b/>
          <w:bCs/>
          <w:color w:val="2E75B6"/>
          <w:sz w:val="26"/>
          <w:szCs w:val="26"/>
        </w:rPr>
        <w:t xml:space="preserve">4.2 Sharing with Group Companies</w:t>
      </w:r>
    </w:p>
    <w:p>
      <w:pPr>
        <w:spacing w:before="60" w:after="60"/>
      </w:pPr>
      <w:r>
        <w:rPr>
          <w:rFonts w:ascii="Arial" w:cs="Arial" w:eastAsia="Arial" w:hAnsi="Arial"/>
          <w:sz w:val="20"/>
          <w:szCs w:val="20"/>
        </w:rPr>
        <w:t xml:space="preserve">Sharing customer data with affiliated BBK group companies (e.g., BBK Kuwait, BBK India) does not require a formal agreement as these are part of the same corporate group.</w:t>
      </w:r>
    </w:p>
    <w:p>
      <w:pPr>
        <w:pStyle w:val="Heading2"/>
        <w:spacing w:before="240" w:after="80"/>
      </w:pPr>
      <w:r>
        <w:rPr>
          <w:rFonts w:ascii="Arial" w:cs="Arial" w:eastAsia="Arial" w:hAnsi="Arial"/>
          <w:b/>
          <w:bCs/>
          <w:color w:val="2E75B6"/>
          <w:sz w:val="26"/>
          <w:szCs w:val="26"/>
        </w:rPr>
        <w:t xml:space="preserve">4.3 External Sharing</w:t>
      </w:r>
    </w:p>
    <w:p>
      <w:pPr>
        <w:spacing w:before="60" w:after="60"/>
      </w:pPr>
      <w:r>
        <w:rPr>
          <w:rFonts w:ascii="Arial" w:cs="Arial" w:eastAsia="Arial" w:hAnsi="Arial"/>
          <w:sz w:val="20"/>
          <w:szCs w:val="20"/>
        </w:rPr>
        <w:t xml:space="preserve">If customer data needs to be shared externally (e.g., with a vendor or service provider), staff should send it via email with a note marking it as confidential. Approval from a line manager is recommended.</w:t>
      </w:r>
    </w:p>
    <w:p>
      <w:r>
        <w:t xml:space="preserve"/>
      </w:r>
    </w:p>
    <w:p>
      <w:pPr>
        <w:pStyle w:val="Heading1"/>
        <w:spacing w:before="360" w:after="120"/>
      </w:pPr>
      <w:r>
        <w:rPr>
          <w:rFonts w:ascii="Arial" w:cs="Arial" w:eastAsia="Arial" w:hAnsi="Arial"/>
          <w:b/>
          <w:bCs/>
          <w:color w:val="1F4E79"/>
          <w:sz w:val="32"/>
          <w:szCs w:val="32"/>
        </w:rPr>
        <w:t xml:space="preserve">5. Data Retention</w:t>
      </w:r>
    </w:p>
    <w:p>
      <w:pPr>
        <w:spacing w:before="60" w:after="60"/>
      </w:pPr>
      <w:r>
        <w:rPr>
          <w:rFonts w:ascii="Arial" w:cs="Arial" w:eastAsia="Arial" w:hAnsi="Arial"/>
          <w:sz w:val="20"/>
          <w:szCs w:val="20"/>
        </w:rPr>
        <w:t xml:space="preserve">Customer records should be retained for as long as they are commercially useful or until the customer relationship ends. After this point, data may be archived or deleted at the discretion of the branch manager.</w:t>
      </w:r>
    </w:p>
    <w:p>
      <w:r>
        <w:t xml:space="preserve"/>
      </w:r>
    </w:p>
    <w:p>
      <w:pPr>
        <w:pStyle w:val="Heading1"/>
        <w:spacing w:before="360" w:after="120"/>
      </w:pPr>
      <w:r>
        <w:rPr>
          <w:rFonts w:ascii="Arial" w:cs="Arial" w:eastAsia="Arial" w:hAnsi="Arial"/>
          <w:b/>
          <w:bCs/>
          <w:color w:val="1F4E79"/>
          <w:sz w:val="32"/>
          <w:szCs w:val="32"/>
        </w:rPr>
        <w:t xml:space="preserve">6. Customer Requests for Their Data</w:t>
      </w:r>
    </w:p>
    <w:p>
      <w:pPr>
        <w:spacing w:before="60" w:after="60"/>
      </w:pPr>
      <w:r>
        <w:rPr>
          <w:rFonts w:ascii="Arial" w:cs="Arial" w:eastAsia="Arial" w:hAnsi="Arial"/>
          <w:sz w:val="20"/>
          <w:szCs w:val="20"/>
        </w:rPr>
        <w:t xml:space="preserve">If a customer requests a copy of their data or asks for it to be updated or deleted, staff should try to assist where possible. Requests should be handled within a reasonable period.</w:t>
      </w:r>
    </w:p>
    <w:p>
      <w:r>
        <w:t xml:space="preserve"/>
      </w:r>
    </w:p>
    <w:p>
      <w:pPr>
        <w:pStyle w:val="Heading1"/>
        <w:spacing w:before="360" w:after="120"/>
      </w:pPr>
      <w:r>
        <w:rPr>
          <w:rFonts w:ascii="Arial" w:cs="Arial" w:eastAsia="Arial" w:hAnsi="Arial"/>
          <w:b/>
          <w:bCs/>
          <w:color w:val="1F4E79"/>
          <w:sz w:val="32"/>
          <w:szCs w:val="32"/>
        </w:rPr>
        <w:t xml:space="preserve">7. Data Incidents</w:t>
      </w:r>
    </w:p>
    <w:p>
      <w:pPr>
        <w:spacing w:before="60" w:after="60"/>
      </w:pPr>
      <w:r>
        <w:rPr>
          <w:rFonts w:ascii="Arial" w:cs="Arial" w:eastAsia="Arial" w:hAnsi="Arial"/>
          <w:sz w:val="20"/>
          <w:szCs w:val="20"/>
        </w:rPr>
        <w:t xml:space="preserve">If customer data is accidentally shared with the wrong person or lost, staff should inform their line manager as soon as they are aware. The manager will decide on next steps.</w:t>
      </w:r>
    </w:p>
    <w:p>
      <w:r>
        <w:t xml:space="preserve"/>
      </w:r>
    </w:p>
    <w:p>
      <w:pPr>
        <w:pStyle w:val="Heading1"/>
        <w:spacing w:before="360" w:after="120"/>
      </w:pPr>
      <w:r>
        <w:rPr>
          <w:rFonts w:ascii="Arial" w:cs="Arial" w:eastAsia="Arial" w:hAnsi="Arial"/>
          <w:b/>
          <w:bCs/>
          <w:color w:val="1F4E79"/>
          <w:sz w:val="32"/>
          <w:szCs w:val="32"/>
        </w:rPr>
        <w:t xml:space="preserve">8. Questions</w:t>
      </w:r>
    </w:p>
    <w:p>
      <w:pPr>
        <w:spacing w:before="60" w:after="60"/>
      </w:pPr>
      <w:r>
        <w:rPr>
          <w:rFonts w:ascii="Arial" w:cs="Arial" w:eastAsia="Arial" w:hAnsi="Arial"/>
          <w:sz w:val="20"/>
          <w:szCs w:val="20"/>
        </w:rPr>
        <w:t xml:space="preserve">For any questions about this procedure, please contact the Retail Banking Division Head or your branch manager.</w:t>
      </w:r>
    </w:p>
    <w:p>
      <w:pPr>
        <w:spacing w:before="40" w:after="40"/>
      </w:pPr>
      <w:r>
        <w:rPr>
          <w:rFonts w:ascii="Arial" w:cs="Arial" w:eastAsia="Arial" w:hAnsi="Arial"/>
          <w:i/>
          <w:iCs/>
          <w:color w:val="AAAAAA"/>
          <w:sz w:val="18"/>
          <w:szCs w:val="18"/>
        </w:rPr>
        <w:t xml:space="preserve">Approved by: Head of Retail Banking, June 2022. Legal review: 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2026-03-26T07:04:24.533Z</dcterms:created>
  <dcterms:modified xsi:type="dcterms:W3CDTF">2026-03-26T07:04:24.533Z</dcterms:modified>
</cp:coreProperties>
</file>

<file path=docProps/custom.xml><?xml version="1.0" encoding="utf-8"?>
<Properties xmlns="http://schemas.openxmlformats.org/officeDocument/2006/custom-properties" xmlns:vt="http://schemas.openxmlformats.org/officeDocument/2006/docPropsVTypes"/>
</file>