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400"/>
        <w:jc w:val="center"/>
      </w:pPr>
      <w:r>
        <w:rPr>
          <w:rFonts w:ascii="Arial" w:cs="Arial" w:eastAsia="Arial" w:hAnsi="Arial"/>
          <w:color w:val="555555"/>
          <w:sz w:val="24"/>
          <w:szCs w:val="24"/>
        </w:rPr>
        <w:t xml:space="preserve">Bank of Bahrain and Kuwait</w:t>
      </w:r>
    </w:p>
    <w:p>
      <w:pPr>
        <w:pBdr>
          <w:bottom w:val="single" w:color="2E75B6" w:sz="6" w:space="1"/>
        </w:pBdr>
        <w:spacing w:before="120" w:after="120"/>
      </w:pPr>
      <w:r>
        <w:t xml:space="preserve"/>
      </w:r>
    </w:p>
    <w:p>
      <w:pPr>
        <w:spacing w:before="400" w:after="120"/>
        <w:jc w:val="center"/>
      </w:pPr>
      <w:r>
        <w:rPr>
          <w:rFonts w:ascii="Arial" w:cs="Arial" w:eastAsia="Arial" w:hAnsi="Arial"/>
          <w:b/>
          <w:bCs/>
          <w:color w:val="1A1A1A"/>
          <w:sz w:val="38"/>
          <w:szCs w:val="38"/>
        </w:rPr>
        <w:t xml:space="preserve">Third-Party Data Sharing Guideline</w:t>
      </w:r>
    </w:p>
    <w:p>
      <w:pPr>
        <w:spacing w:before="0" w:after="600"/>
        <w:jc w:val="center"/>
      </w:pPr>
      <w:r>
        <w:rPr>
          <w:rFonts w:ascii="Arial" w:cs="Arial" w:eastAsia="Arial" w:hAnsi="Arial"/>
          <w:i/>
          <w:iCs/>
          <w:color w:val="888888"/>
          <w:sz w:val="20"/>
          <w:szCs w:val="20"/>
        </w:rPr>
        <w:t xml:space="preserve">Internal Policy Document — Confidential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BBK-GDL-011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January 2020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 Guideline (Non-Mandatory)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Procurement &amp; Operations</w:t>
            </w:r>
          </w:p>
        </w:tc>
      </w:tr>
    </w:tbl>
    <w:p>
      <w:pPr>
        <w:pageBreakBefore/>
      </w:pPr>
      <w:r>
        <w:t xml:space="preserve"/>
      </w:r>
    </w:p>
    <w:p>
      <w:pPr>
        <w:spacing w:before="60" w:after="60"/>
      </w:pPr>
      <w:r>
        <w:rPr>
          <w:rFonts w:ascii="Arial" w:cs="Arial" w:eastAsia="Arial" w:hAnsi="Arial"/>
          <w:sz w:val="20"/>
          <w:szCs w:val="20"/>
        </w:rPr>
        <w:t xml:space="preserve">This guideline provides informal guidance to BBK staff and procurement teams on sharing data with external vendors and partners. It is not a formal policy and does not replace professional legal advice.</w:t>
      </w:r>
    </w:p>
    <w:p>
      <w:r>
        <w:t xml:space="preserve"/>
      </w:r>
    </w:p>
    <w:p>
      <w:pPr>
        <w:pStyle w:val="Heading1"/>
        <w:spacing w:before="360" w:after="120"/>
      </w:pPr>
      <w:r>
        <w:rPr>
          <w:rFonts w:ascii="Arial" w:cs="Arial" w:eastAsia="Arial" w:hAnsi="Arial"/>
          <w:b/>
          <w:bCs/>
          <w:color w:val="1F4E79"/>
          <w:sz w:val="32"/>
          <w:szCs w:val="32"/>
        </w:rPr>
        <w:t xml:space="preserve">1. When Does This Apply?</w:t>
      </w:r>
    </w:p>
    <w:p>
      <w:pPr>
        <w:spacing w:before="60" w:after="60"/>
      </w:pPr>
      <w:r>
        <w:rPr>
          <w:rFonts w:ascii="Arial" w:cs="Arial" w:eastAsia="Arial" w:hAnsi="Arial"/>
          <w:sz w:val="20"/>
          <w:szCs w:val="20"/>
        </w:rPr>
        <w:t xml:space="preserve">This guideline applies when BBK staff share any customer, employee, or operational data with a third-party company, such as a technology vendor, outsourced service provider, or business partner.</w:t>
      </w:r>
    </w:p>
    <w:p>
      <w:pPr>
        <w:spacing w:before="60" w:after="60"/>
      </w:pPr>
      <w:r>
        <w:rPr>
          <w:rFonts w:ascii="Arial" w:cs="Arial" w:eastAsia="Arial" w:hAnsi="Arial"/>
          <w:sz w:val="20"/>
          <w:szCs w:val="20"/>
        </w:rPr>
        <w:t xml:space="preserve">If you are not sure whether this applies to your situation, check with your manager or the Procurement team.</w:t>
      </w:r>
    </w:p>
    <w:p>
      <w:r>
        <w:t xml:space="preserve"/>
      </w:r>
    </w:p>
    <w:p>
      <w:pPr>
        <w:pStyle w:val="Heading1"/>
        <w:spacing w:before="360" w:after="120"/>
      </w:pPr>
      <w:r>
        <w:rPr>
          <w:rFonts w:ascii="Arial" w:cs="Arial" w:eastAsia="Arial" w:hAnsi="Arial"/>
          <w:b/>
          <w:bCs/>
          <w:color w:val="1F4E79"/>
          <w:sz w:val="32"/>
          <w:szCs w:val="32"/>
        </w:rPr>
        <w:t xml:space="preserve">2. Before Sharing Data</w:t>
      </w:r>
    </w:p>
    <w:p>
      <w:pPr>
        <w:spacing w:before="60" w:after="60"/>
      </w:pPr>
      <w:r>
        <w:rPr>
          <w:rFonts w:ascii="Arial" w:cs="Arial" w:eastAsia="Arial" w:hAnsi="Arial"/>
          <w:sz w:val="20"/>
          <w:szCs w:val="20"/>
        </w:rPr>
        <w:t xml:space="preserve">Before sharing data with an external party, staff should consider whether it is really necessary to share it. If it is necessary, the following steps are suggested:</w:t>
      </w:r>
    </w:p>
    <w:p>
      <w:pPr>
        <w:pStyle w:val="ListParagraph"/>
        <w:numPr>
          <w:ilvl w:val="0"/>
          <w:numId w:val="2"/>
        </w:numPr>
        <w:spacing w:before="40" w:after="40"/>
      </w:pPr>
      <w:r>
        <w:rPr>
          <w:rFonts w:ascii="Arial" w:cs="Arial" w:eastAsia="Arial" w:hAnsi="Arial"/>
          <w:sz w:val="20"/>
          <w:szCs w:val="20"/>
        </w:rPr>
        <w:t xml:space="preserve">Make sure the vendor has a privacy policy on their website.</w:t>
      </w:r>
    </w:p>
    <w:p>
      <w:pPr>
        <w:pStyle w:val="ListParagraph"/>
        <w:numPr>
          <w:ilvl w:val="0"/>
          <w:numId w:val="2"/>
        </w:numPr>
        <w:spacing w:before="40" w:after="40"/>
      </w:pPr>
      <w:r>
        <w:rPr>
          <w:rFonts w:ascii="Arial" w:cs="Arial" w:eastAsia="Arial" w:hAnsi="Arial"/>
          <w:sz w:val="20"/>
          <w:szCs w:val="20"/>
        </w:rPr>
        <w:t xml:space="preserve">Ask the vendor if they will keep the data confidential.</w:t>
      </w:r>
    </w:p>
    <w:p>
      <w:pPr>
        <w:pStyle w:val="ListParagraph"/>
        <w:numPr>
          <w:ilvl w:val="0"/>
          <w:numId w:val="2"/>
        </w:numPr>
        <w:spacing w:before="40" w:after="40"/>
      </w:pPr>
      <w:r>
        <w:rPr>
          <w:rFonts w:ascii="Arial" w:cs="Arial" w:eastAsia="Arial" w:hAnsi="Arial"/>
          <w:sz w:val="20"/>
          <w:szCs w:val="20"/>
        </w:rPr>
        <w:t xml:space="preserve">Avoid sharing more data than is needed.</w:t>
      </w:r>
    </w:p>
    <w:p>
      <w:r>
        <w:t xml:space="preserve"/>
      </w:r>
    </w:p>
    <w:p>
      <w:pPr>
        <w:pStyle w:val="Heading1"/>
        <w:spacing w:before="360" w:after="120"/>
      </w:pPr>
      <w:r>
        <w:rPr>
          <w:rFonts w:ascii="Arial" w:cs="Arial" w:eastAsia="Arial" w:hAnsi="Arial"/>
          <w:b/>
          <w:bCs/>
          <w:color w:val="1F4E79"/>
          <w:sz w:val="32"/>
          <w:szCs w:val="32"/>
        </w:rPr>
        <w:t xml:space="preserve">3. Agreements with Vendors</w:t>
      </w:r>
    </w:p>
    <w:p>
      <w:pPr>
        <w:spacing w:before="60" w:after="60"/>
      </w:pPr>
      <w:r>
        <w:rPr>
          <w:rFonts w:ascii="Arial" w:cs="Arial" w:eastAsia="Arial" w:hAnsi="Arial"/>
          <w:sz w:val="20"/>
          <w:szCs w:val="20"/>
        </w:rPr>
        <w:t xml:space="preserve">Where possible, BBK should have some form of written agreement with the vendor that covers data confidentiality. This could be a non-disclosure agreement (NDA), a contract clause, or a separate data sharing agreement.</w:t>
      </w:r>
    </w:p>
    <w:p>
      <w:pPr>
        <w:spacing w:before="60" w:after="60"/>
      </w:pPr>
      <w:r>
        <w:rPr>
          <w:rFonts w:ascii="Arial" w:cs="Arial" w:eastAsia="Arial" w:hAnsi="Arial"/>
          <w:sz w:val="20"/>
          <w:szCs w:val="20"/>
        </w:rPr>
        <w:t xml:space="preserve">The Procurement team holds template agreements that may be used. Legal review is recommended for significant engagements.</w:t>
      </w:r>
    </w:p>
    <w:p>
      <w:r>
        <w:t xml:space="preserve"/>
      </w:r>
    </w:p>
    <w:p>
      <w:pPr>
        <w:pStyle w:val="Heading1"/>
        <w:spacing w:before="360" w:after="120"/>
      </w:pPr>
      <w:r>
        <w:rPr>
          <w:rFonts w:ascii="Arial" w:cs="Arial" w:eastAsia="Arial" w:hAnsi="Arial"/>
          <w:b/>
          <w:bCs/>
          <w:color w:val="1F4E79"/>
          <w:sz w:val="32"/>
          <w:szCs w:val="32"/>
        </w:rPr>
        <w:t xml:space="preserve">4. Sending Data to Other Countries</w:t>
      </w:r>
    </w:p>
    <w:p>
      <w:pPr>
        <w:spacing w:before="60" w:after="60"/>
      </w:pPr>
      <w:r>
        <w:rPr>
          <w:rFonts w:ascii="Arial" w:cs="Arial" w:eastAsia="Arial" w:hAnsi="Arial"/>
          <w:sz w:val="20"/>
          <w:szCs w:val="20"/>
        </w:rPr>
        <w:t xml:space="preserve">If a vendor is located outside Bahrain or Kuwait, there may be additional considerations around sending data internationally. If you think this might be an issue, please check with the Compliance team before proceeding.</w:t>
      </w:r>
    </w:p>
    <w:p>
      <w:r>
        <w:t xml:space="preserve"/>
      </w:r>
    </w:p>
    <w:p>
      <w:pPr>
        <w:pStyle w:val="Heading1"/>
        <w:spacing w:before="360" w:after="120"/>
      </w:pPr>
      <w:r>
        <w:rPr>
          <w:rFonts w:ascii="Arial" w:cs="Arial" w:eastAsia="Arial" w:hAnsi="Arial"/>
          <w:b/>
          <w:bCs/>
          <w:color w:val="1F4E79"/>
          <w:sz w:val="32"/>
          <w:szCs w:val="32"/>
        </w:rPr>
        <w:t xml:space="preserve">5. What Vendors Should Do with the Data</w:t>
      </w:r>
    </w:p>
    <w:p>
      <w:pPr>
        <w:spacing w:before="60" w:after="60"/>
      </w:pPr>
      <w:r>
        <w:rPr>
          <w:rFonts w:ascii="Arial" w:cs="Arial" w:eastAsia="Arial" w:hAnsi="Arial"/>
          <w:sz w:val="20"/>
          <w:szCs w:val="20"/>
        </w:rPr>
        <w:t xml:space="preserve">Vendors should only use the data BBK shares with them for the purpose it was shared. They should keep it secure and not pass it on to other companies without telling us first.</w:t>
      </w:r>
    </w:p>
    <w:p>
      <w:r>
        <w:t xml:space="preserve"/>
      </w:r>
    </w:p>
    <w:p>
      <w:pPr>
        <w:pStyle w:val="Heading1"/>
        <w:spacing w:before="360" w:after="120"/>
      </w:pPr>
      <w:r>
        <w:rPr>
          <w:rFonts w:ascii="Arial" w:cs="Arial" w:eastAsia="Arial" w:hAnsi="Arial"/>
          <w:b/>
          <w:bCs/>
          <w:color w:val="1F4E79"/>
          <w:sz w:val="32"/>
          <w:szCs w:val="32"/>
        </w:rPr>
        <w:t xml:space="preserve">6. If Something Goes Wrong</w:t>
      </w:r>
    </w:p>
    <w:p>
      <w:pPr>
        <w:spacing w:before="60" w:after="60"/>
      </w:pPr>
      <w:r>
        <w:rPr>
          <w:rFonts w:ascii="Arial" w:cs="Arial" w:eastAsia="Arial" w:hAnsi="Arial"/>
          <w:sz w:val="20"/>
          <w:szCs w:val="20"/>
        </w:rPr>
        <w:t xml:space="preserve">If a vendor loses BBK data or it is accessed without authorisation, the vendor should let us know as soon as they can. BBK staff who become aware of an incident should tell their manager.</w:t>
      </w:r>
    </w:p>
    <w:p>
      <w:r>
        <w:t xml:space="preserve"/>
      </w:r>
    </w:p>
    <w:p>
      <w:pPr>
        <w:pStyle w:val="Heading1"/>
        <w:spacing w:before="360" w:after="120"/>
      </w:pPr>
      <w:r>
        <w:rPr>
          <w:rFonts w:ascii="Arial" w:cs="Arial" w:eastAsia="Arial" w:hAnsi="Arial"/>
          <w:b/>
          <w:bCs/>
          <w:color w:val="1F4E79"/>
          <w:sz w:val="32"/>
          <w:szCs w:val="32"/>
        </w:rPr>
        <w:t xml:space="preserve">7. When the Vendor Relationship Ends</w:t>
      </w:r>
    </w:p>
    <w:p>
      <w:pPr>
        <w:spacing w:before="60" w:after="60"/>
      </w:pPr>
      <w:r>
        <w:rPr>
          <w:rFonts w:ascii="Arial" w:cs="Arial" w:eastAsia="Arial" w:hAnsi="Arial"/>
          <w:sz w:val="20"/>
          <w:szCs w:val="20"/>
        </w:rPr>
        <w:t xml:space="preserve">When BBK stops working with a vendor, staff should request that the vendor deletes or returns any BBK data they hold. It is good practice to confirm this in writing.</w:t>
      </w:r>
    </w:p>
    <w:p>
      <w:r>
        <w:t xml:space="preserve"/>
      </w:r>
    </w:p>
    <w:p>
      <w:pPr>
        <w:pStyle w:val="Heading1"/>
        <w:spacing w:before="360" w:after="120"/>
      </w:pPr>
      <w:r>
        <w:rPr>
          <w:rFonts w:ascii="Arial" w:cs="Arial" w:eastAsia="Arial" w:hAnsi="Arial"/>
          <w:b/>
          <w:bCs/>
          <w:color w:val="1F4E79"/>
          <w:sz w:val="32"/>
          <w:szCs w:val="32"/>
        </w:rPr>
        <w:t xml:space="preserve">8. Questions</w:t>
      </w:r>
    </w:p>
    <w:p>
      <w:pPr>
        <w:spacing w:before="60" w:after="60"/>
      </w:pPr>
      <w:r>
        <w:rPr>
          <w:rFonts w:ascii="Arial" w:cs="Arial" w:eastAsia="Arial" w:hAnsi="Arial"/>
          <w:sz w:val="20"/>
          <w:szCs w:val="20"/>
        </w:rPr>
        <w:t xml:space="preserve">This is a living document and will be updated as needed. If you have questions, speak to the Procurement team or your divisional manager.</w:t>
      </w:r>
    </w:p>
    <w:p>
      <w:pPr>
        <w:spacing w:before="40" w:after="40"/>
      </w:pPr>
      <w:r>
        <w:rPr>
          <w:rFonts w:ascii="Arial" w:cs="Arial" w:eastAsia="Arial" w:hAnsi="Arial"/>
          <w:i/>
          <w:iCs/>
          <w:color w:val="AAAAAA"/>
          <w:sz w:val="18"/>
          <w:szCs w:val="18"/>
        </w:rPr>
        <w:t xml:space="preserve">Prepared by Procurement Operations, January 2020. Not formally reviewed by Legal or Compliance.</w:t>
      </w:r>
    </w:p>
    <w:p>
      <w:pPr>
        <w:spacing w:before="40" w:after="40"/>
      </w:pPr>
      <w:r>
        <w:rPr>
          <w:rFonts w:ascii="Arial" w:cs="Arial" w:eastAsia="Arial" w:hAnsi="Arial"/>
          <w:i/>
          <w:iCs/>
          <w:color w:val="AAAAAA"/>
          <w:sz w:val="18"/>
          <w:szCs w:val="18"/>
        </w:rPr>
        <w:t xml:space="preserve">Note: A formal Third-Party Data Policy (BBK-PROC-007) was issued in 2025. This guideline has not been withdrawn and may cause confusion.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2026-03-26T07:04:24.539Z</dcterms:created>
  <dcterms:modified xsi:type="dcterms:W3CDTF">2026-03-26T07:04:24.539Z</dcterms:modified>
</cp:coreProperties>
</file>

<file path=docProps/custom.xml><?xml version="1.0" encoding="utf-8"?>
<Properties xmlns="http://schemas.openxmlformats.org/officeDocument/2006/custom-properties" xmlns:vt="http://schemas.openxmlformats.org/officeDocument/2006/docPropsVTypes"/>
</file>