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40"/>
          <w:szCs w:val="40"/>
        </w:rPr>
        <w:t xml:space="preserve">Data Governance Framework Policy</w:t>
      </w:r>
    </w:p>
    <w:p>
      <w:pPr>
        <w:spacing w:before="60" w:after="600"/>
        <w:jc w:val="center"/>
      </w:pPr>
      <w:r>
        <w:rPr>
          <w:rFonts w:ascii="Arial" w:cs="Arial" w:eastAsia="Arial" w:hAnsi="Arial"/>
          <w:i/>
          <w:iCs/>
          <w:color w:val="888888"/>
          <w:sz w:val="22"/>
          <w:szCs w:val="22"/>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BBK-GOV-003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January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&amp; Compliance Division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Introduction</w:t>
      </w:r>
    </w:p>
    <w:p>
      <w:pPr>
        <w:spacing w:before="60" w:after="60"/>
      </w:pPr>
      <w:r>
        <w:rPr>
          <w:rFonts w:ascii="Arial" w:cs="Arial" w:eastAsia="Arial" w:hAnsi="Arial"/>
          <w:i w:val="false"/>
          <w:iCs w:val="false"/>
          <w:sz w:val="20"/>
          <w:szCs w:val="20"/>
        </w:rPr>
        <w:t xml:space="preserve">BBK recognizes that data is a critical organizational asset. This Data Governance Framework establishes the structures, roles, processes, and standards required to ensure that BBK's data assets are managed with integrity, accuracy, security, and in compliance with applicable regulatory obligations across all jurisdictions of operation.</w:t>
      </w:r>
    </w:p>
    <w:p>
      <w:r>
        <w:t xml:space="preserve"/>
      </w:r>
    </w:p>
    <w:p>
      <w:pPr>
        <w:pStyle w:val="Heading1"/>
        <w:spacing w:before="360" w:after="120"/>
      </w:pPr>
      <w:r>
        <w:rPr>
          <w:rFonts w:ascii="Arial" w:cs="Arial" w:eastAsia="Arial" w:hAnsi="Arial"/>
          <w:b/>
          <w:bCs/>
          <w:color w:val="1F4E79"/>
          <w:sz w:val="32"/>
          <w:szCs w:val="32"/>
        </w:rPr>
        <w:t xml:space="preserve">2. Governance Structure</w:t>
      </w:r>
    </w:p>
    <w:p>
      <w:pPr>
        <w:pStyle w:val="Heading2"/>
        <w:spacing w:before="240" w:after="80"/>
      </w:pPr>
      <w:r>
        <w:rPr>
          <w:rFonts w:ascii="Arial" w:cs="Arial" w:eastAsia="Arial" w:hAnsi="Arial"/>
          <w:b/>
          <w:bCs/>
          <w:color w:val="2E75B6"/>
          <w:sz w:val="26"/>
          <w:szCs w:val="26"/>
        </w:rPr>
        <w:t xml:space="preserve">2.1 Data Governance Committee</w:t>
      </w:r>
    </w:p>
    <w:p>
      <w:pPr>
        <w:spacing w:before="60" w:after="60"/>
      </w:pPr>
      <w:r>
        <w:rPr>
          <w:rFonts w:ascii="Arial" w:cs="Arial" w:eastAsia="Arial" w:hAnsi="Arial"/>
          <w:i w:val="false"/>
          <w:iCs w:val="false"/>
          <w:sz w:val="20"/>
          <w:szCs w:val="20"/>
        </w:rPr>
        <w:t xml:space="preserve">BBK maintains a Data Governance Committee (DGC) chaired by the Chief Risk Officer and comprising:</w:t>
      </w:r>
    </w:p>
    <w:p>
      <w:pPr>
        <w:pStyle w:val="ListParagraph"/>
        <w:numPr>
          <w:ilvl w:val="0"/>
          <w:numId w:val="2"/>
        </w:numPr>
        <w:spacing w:before="40" w:after="40"/>
      </w:pPr>
      <w:r>
        <w:rPr>
          <w:rFonts w:ascii="Arial" w:cs="Arial" w:eastAsia="Arial" w:hAnsi="Arial"/>
          <w:sz w:val="20"/>
          <w:szCs w:val="20"/>
        </w:rPr>
        <w:t xml:space="preserve">Chief Information Officer</w:t>
      </w:r>
    </w:p>
    <w:p>
      <w:pPr>
        <w:pStyle w:val="ListParagraph"/>
        <w:numPr>
          <w:ilvl w:val="0"/>
          <w:numId w:val="2"/>
        </w:numPr>
        <w:spacing w:before="40" w:after="40"/>
      </w:pPr>
      <w:r>
        <w:rPr>
          <w:rFonts w:ascii="Arial" w:cs="Arial" w:eastAsia="Arial" w:hAnsi="Arial"/>
          <w:sz w:val="20"/>
          <w:szCs w:val="20"/>
        </w:rPr>
        <w:t xml:space="preserve">Chief Compliance Officer</w:t>
      </w:r>
    </w:p>
    <w:p>
      <w:pPr>
        <w:pStyle w:val="ListParagraph"/>
        <w:numPr>
          <w:ilvl w:val="0"/>
          <w:numId w:val="2"/>
        </w:numPr>
        <w:spacing w:before="40" w:after="40"/>
      </w:pPr>
      <w:r>
        <w:rPr>
          <w:rFonts w:ascii="Arial" w:cs="Arial" w:eastAsia="Arial" w:hAnsi="Arial"/>
          <w:sz w:val="20"/>
          <w:szCs w:val="20"/>
        </w:rPr>
        <w:t xml:space="preserve">Data Protection Officer</w:t>
      </w:r>
    </w:p>
    <w:p>
      <w:pPr>
        <w:pStyle w:val="ListParagraph"/>
        <w:numPr>
          <w:ilvl w:val="0"/>
          <w:numId w:val="2"/>
        </w:numPr>
        <w:spacing w:before="40" w:after="40"/>
      </w:pPr>
      <w:r>
        <w:rPr>
          <w:rFonts w:ascii="Arial" w:cs="Arial" w:eastAsia="Arial" w:hAnsi="Arial"/>
          <w:sz w:val="20"/>
          <w:szCs w:val="20"/>
        </w:rPr>
        <w:t xml:space="preserve">Head of Legal</w:t>
      </w:r>
    </w:p>
    <w:p>
      <w:pPr>
        <w:pStyle w:val="ListParagraph"/>
        <w:numPr>
          <w:ilvl w:val="0"/>
          <w:numId w:val="2"/>
        </w:numPr>
        <w:spacing w:before="40" w:after="40"/>
      </w:pPr>
      <w:r>
        <w:rPr>
          <w:rFonts w:ascii="Arial" w:cs="Arial" w:eastAsia="Arial" w:hAnsi="Arial"/>
          <w:sz w:val="20"/>
          <w:szCs w:val="20"/>
        </w:rPr>
        <w:t xml:space="preserve">Head of IT Security</w:t>
      </w:r>
    </w:p>
    <w:p>
      <w:pPr>
        <w:pStyle w:val="ListParagraph"/>
        <w:numPr>
          <w:ilvl w:val="0"/>
          <w:numId w:val="2"/>
        </w:numPr>
        <w:spacing w:before="40" w:after="40"/>
      </w:pPr>
      <w:r>
        <w:rPr>
          <w:rFonts w:ascii="Arial" w:cs="Arial" w:eastAsia="Arial" w:hAnsi="Arial"/>
          <w:sz w:val="20"/>
          <w:szCs w:val="20"/>
        </w:rPr>
        <w:t xml:space="preserve">Representative Data Owners from each business line</w:t>
      </w:r>
    </w:p>
    <w:p>
      <w:pPr>
        <w:spacing w:before="60" w:after="60"/>
      </w:pPr>
      <w:r>
        <w:rPr>
          <w:rFonts w:ascii="Arial" w:cs="Arial" w:eastAsia="Arial" w:hAnsi="Arial"/>
          <w:i w:val="false"/>
          <w:iCs w:val="false"/>
          <w:sz w:val="20"/>
          <w:szCs w:val="20"/>
        </w:rPr>
        <w:t xml:space="preserve">The DGC meets quarterly and has responsibility for approving data governance standards, resolving escalated data quality issues, and overseeing the data risk register.</w:t>
      </w:r>
    </w:p>
    <w:p>
      <w:pPr>
        <w:pStyle w:val="Heading2"/>
        <w:spacing w:before="240" w:after="80"/>
      </w:pPr>
      <w:r>
        <w:rPr>
          <w:rFonts w:ascii="Arial" w:cs="Arial" w:eastAsia="Arial" w:hAnsi="Arial"/>
          <w:b/>
          <w:bCs/>
          <w:color w:val="2E75B6"/>
          <w:sz w:val="26"/>
          <w:szCs w:val="26"/>
        </w:rPr>
        <w:t xml:space="preserve">2.2 Data Owners</w:t>
      </w:r>
    </w:p>
    <w:p>
      <w:pPr>
        <w:spacing w:before="60" w:after="60"/>
      </w:pPr>
      <w:r>
        <w:rPr>
          <w:rFonts w:ascii="Arial" w:cs="Arial" w:eastAsia="Arial" w:hAnsi="Arial"/>
          <w:i w:val="false"/>
          <w:iCs w:val="false"/>
          <w:sz w:val="20"/>
          <w:szCs w:val="20"/>
        </w:rPr>
        <w:t xml:space="preserve">Each major data domain is assigned a Data Owner at the Senior Manager level or above. Data Owners are accountable for the accuracy, completeness, and appropriate use of data within their domain. Current data domains include:</w:t>
      </w:r>
    </w:p>
    <w:p>
      <w:pPr>
        <w:pStyle w:val="ListParagraph"/>
        <w:numPr>
          <w:ilvl w:val="0"/>
          <w:numId w:val="2"/>
        </w:numPr>
        <w:spacing w:before="40" w:after="40"/>
      </w:pPr>
      <w:r>
        <w:rPr>
          <w:rFonts w:ascii="Arial" w:cs="Arial" w:eastAsia="Arial" w:hAnsi="Arial"/>
          <w:sz w:val="20"/>
          <w:szCs w:val="20"/>
        </w:rPr>
        <w:t xml:space="preserve">Customer Data (Owner: Head of Retail Banking)</w:t>
      </w:r>
    </w:p>
    <w:p>
      <w:pPr>
        <w:pStyle w:val="ListParagraph"/>
        <w:numPr>
          <w:ilvl w:val="0"/>
          <w:numId w:val="2"/>
        </w:numPr>
        <w:spacing w:before="40" w:after="40"/>
      </w:pPr>
      <w:r>
        <w:rPr>
          <w:rFonts w:ascii="Arial" w:cs="Arial" w:eastAsia="Arial" w:hAnsi="Arial"/>
          <w:sz w:val="20"/>
          <w:szCs w:val="20"/>
        </w:rPr>
        <w:t xml:space="preserve">Employee Data (Owner: Head of Human Resources)</w:t>
      </w:r>
    </w:p>
    <w:p>
      <w:pPr>
        <w:pStyle w:val="ListParagraph"/>
        <w:numPr>
          <w:ilvl w:val="0"/>
          <w:numId w:val="2"/>
        </w:numPr>
        <w:spacing w:before="40" w:after="40"/>
      </w:pPr>
      <w:r>
        <w:rPr>
          <w:rFonts w:ascii="Arial" w:cs="Arial" w:eastAsia="Arial" w:hAnsi="Arial"/>
          <w:sz w:val="20"/>
          <w:szCs w:val="20"/>
        </w:rPr>
        <w:t xml:space="preserve">Financial &amp; Transaction Data (Owner: CFO)</w:t>
      </w:r>
    </w:p>
    <w:p>
      <w:pPr>
        <w:pStyle w:val="ListParagraph"/>
        <w:numPr>
          <w:ilvl w:val="0"/>
          <w:numId w:val="2"/>
        </w:numPr>
        <w:spacing w:before="40" w:after="40"/>
      </w:pPr>
      <w:r>
        <w:rPr>
          <w:rFonts w:ascii="Arial" w:cs="Arial" w:eastAsia="Arial" w:hAnsi="Arial"/>
          <w:sz w:val="20"/>
          <w:szCs w:val="20"/>
        </w:rPr>
        <w:t xml:space="preserve">Risk &amp; Compliance Data (Owner: Chief Compliance Officer)</w:t>
      </w:r>
    </w:p>
    <w:p>
      <w:pPr>
        <w:pStyle w:val="ListParagraph"/>
        <w:numPr>
          <w:ilvl w:val="0"/>
          <w:numId w:val="2"/>
        </w:numPr>
        <w:spacing w:before="40" w:after="40"/>
      </w:pPr>
      <w:r>
        <w:rPr>
          <w:rFonts w:ascii="Arial" w:cs="Arial" w:eastAsia="Arial" w:hAnsi="Arial"/>
          <w:sz w:val="20"/>
          <w:szCs w:val="20"/>
        </w:rPr>
        <w:t xml:space="preserve">Operational &amp; Systems Data (Owner: CIO)</w:t>
      </w:r>
    </w:p>
    <w:p>
      <w:pPr>
        <w:pStyle w:val="Heading2"/>
        <w:spacing w:before="240" w:after="80"/>
      </w:pPr>
      <w:r>
        <w:rPr>
          <w:rFonts w:ascii="Arial" w:cs="Arial" w:eastAsia="Arial" w:hAnsi="Arial"/>
          <w:b/>
          <w:bCs/>
          <w:color w:val="2E75B6"/>
          <w:sz w:val="26"/>
          <w:szCs w:val="26"/>
        </w:rPr>
        <w:t xml:space="preserve">2.3 Data Stewards</w:t>
      </w:r>
    </w:p>
    <w:p>
      <w:pPr>
        <w:spacing w:before="60" w:after="60"/>
      </w:pPr>
      <w:r>
        <w:rPr>
          <w:rFonts w:ascii="Arial" w:cs="Arial" w:eastAsia="Arial" w:hAnsi="Arial"/>
          <w:i w:val="false"/>
          <w:iCs w:val="false"/>
          <w:sz w:val="20"/>
          <w:szCs w:val="20"/>
        </w:rPr>
        <w:t xml:space="preserve">Data Stewards are appointed within each business unit to perform day-to-day governance activities, including data quality monitoring, metadata maintenance, and escalation of data issues to the relevant Data Owner.</w:t>
      </w:r>
    </w:p>
    <w:p>
      <w:r>
        <w:t xml:space="preserve"/>
      </w:r>
    </w:p>
    <w:p>
      <w:pPr>
        <w:pStyle w:val="Heading1"/>
        <w:spacing w:before="360" w:after="120"/>
      </w:pPr>
      <w:r>
        <w:rPr>
          <w:rFonts w:ascii="Arial" w:cs="Arial" w:eastAsia="Arial" w:hAnsi="Arial"/>
          <w:b/>
          <w:bCs/>
          <w:color w:val="1F4E79"/>
          <w:sz w:val="32"/>
          <w:szCs w:val="32"/>
        </w:rPr>
        <w:t xml:space="preserve">3. Data Quality Standards</w:t>
      </w:r>
    </w:p>
    <w:p>
      <w:pPr>
        <w:spacing w:before="60" w:after="60"/>
      </w:pPr>
      <w:r>
        <w:rPr>
          <w:rFonts w:ascii="Arial" w:cs="Arial" w:eastAsia="Arial" w:hAnsi="Arial"/>
          <w:i w:val="false"/>
          <w:iCs w:val="false"/>
          <w:sz w:val="20"/>
          <w:szCs w:val="20"/>
        </w:rPr>
        <w:t xml:space="preserve">BBK's data quality framework is based on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Standard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must correctly represent the real-world construct it describes. Mandatory validation rules applied at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Completeness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mandatory data fields must be populated. Completeness thresholds set per data domain.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Consistency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values must be consistent across systems. Cross-system reconciliation reports reviewed monthly.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Timeliness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must be available and updated within defined timeframes relevant to its use.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must conform to defined formats, ranges, and business rules.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Uniqueness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entity shall be represented more than once within a system unless explicitly required.</w:t>
            </w:r>
          </w:p>
        </w:tc>
      </w:tr>
    </w:tbl>
    <w:p>
      <w:r>
        <w:t xml:space="preserve"/>
      </w:r>
    </w:p>
    <w:p>
      <w:pPr>
        <w:pStyle w:val="Heading1"/>
        <w:spacing w:before="360" w:after="120"/>
      </w:pPr>
      <w:r>
        <w:rPr>
          <w:rFonts w:ascii="Arial" w:cs="Arial" w:eastAsia="Arial" w:hAnsi="Arial"/>
          <w:b/>
          <w:bCs/>
          <w:color w:val="1F4E79"/>
          <w:sz w:val="32"/>
          <w:szCs w:val="32"/>
        </w:rPr>
        <w:t xml:space="preserve">4. Data Inventory and Metadata</w:t>
      </w:r>
    </w:p>
    <w:p>
      <w:pPr>
        <w:spacing w:before="60" w:after="60"/>
      </w:pPr>
      <w:r>
        <w:rPr>
          <w:rFonts w:ascii="Arial" w:cs="Arial" w:eastAsia="Arial" w:hAnsi="Arial"/>
          <w:i w:val="false"/>
          <w:iCs w:val="false"/>
          <w:sz w:val="20"/>
          <w:szCs w:val="20"/>
        </w:rPr>
        <w:t xml:space="preserve">BBK maintains a centralized Data Inventory Register which documents:</w:t>
      </w:r>
    </w:p>
    <w:p>
      <w:pPr>
        <w:pStyle w:val="ListParagraph"/>
        <w:numPr>
          <w:ilvl w:val="0"/>
          <w:numId w:val="2"/>
        </w:numPr>
        <w:spacing w:before="40" w:after="40"/>
      </w:pPr>
      <w:r>
        <w:rPr>
          <w:rFonts w:ascii="Arial" w:cs="Arial" w:eastAsia="Arial" w:hAnsi="Arial"/>
          <w:sz w:val="20"/>
          <w:szCs w:val="20"/>
        </w:rPr>
        <w:t xml:space="preserve">All significant data assets, including database names, table descriptions, and field-level definitions.</w:t>
      </w:r>
    </w:p>
    <w:p>
      <w:pPr>
        <w:pStyle w:val="ListParagraph"/>
        <w:numPr>
          <w:ilvl w:val="0"/>
          <w:numId w:val="2"/>
        </w:numPr>
        <w:spacing w:before="40" w:after="40"/>
      </w:pPr>
      <w:r>
        <w:rPr>
          <w:rFonts w:ascii="Arial" w:cs="Arial" w:eastAsia="Arial" w:hAnsi="Arial"/>
          <w:sz w:val="20"/>
          <w:szCs w:val="20"/>
        </w:rPr>
        <w:t xml:space="preserve">Data ownership, classification, and sensitivity designation.</w:t>
      </w:r>
    </w:p>
    <w:p>
      <w:pPr>
        <w:pStyle w:val="ListParagraph"/>
        <w:numPr>
          <w:ilvl w:val="0"/>
          <w:numId w:val="2"/>
        </w:numPr>
        <w:spacing w:before="40" w:after="40"/>
      </w:pPr>
      <w:r>
        <w:rPr>
          <w:rFonts w:ascii="Arial" w:cs="Arial" w:eastAsia="Arial" w:hAnsi="Arial"/>
          <w:sz w:val="20"/>
          <w:szCs w:val="20"/>
        </w:rPr>
        <w:t xml:space="preserve">Source systems, data lineage, and transformation rules.</w:t>
      </w:r>
    </w:p>
    <w:p>
      <w:pPr>
        <w:pStyle w:val="ListParagraph"/>
        <w:numPr>
          <w:ilvl w:val="0"/>
          <w:numId w:val="2"/>
        </w:numPr>
        <w:spacing w:before="40" w:after="40"/>
      </w:pPr>
      <w:r>
        <w:rPr>
          <w:rFonts w:ascii="Arial" w:cs="Arial" w:eastAsia="Arial" w:hAnsi="Arial"/>
          <w:sz w:val="20"/>
          <w:szCs w:val="20"/>
        </w:rPr>
        <w:t xml:space="preserve">Applicable retention periods and legal hold status.</w:t>
      </w:r>
    </w:p>
    <w:p>
      <w:pPr>
        <w:pStyle w:val="ListParagraph"/>
        <w:numPr>
          <w:ilvl w:val="0"/>
          <w:numId w:val="2"/>
        </w:numPr>
        <w:spacing w:before="40" w:after="40"/>
      </w:pPr>
      <w:r>
        <w:rPr>
          <w:rFonts w:ascii="Arial" w:cs="Arial" w:eastAsia="Arial" w:hAnsi="Arial"/>
          <w:sz w:val="20"/>
          <w:szCs w:val="20"/>
        </w:rPr>
        <w:t xml:space="preserve">Processing purposes and lawful bases for personal data.</w:t>
      </w:r>
    </w:p>
    <w:p>
      <w:pPr>
        <w:spacing w:before="60" w:after="60"/>
      </w:pPr>
      <w:r>
        <w:rPr>
          <w:rFonts w:ascii="Arial" w:cs="Arial" w:eastAsia="Arial" w:hAnsi="Arial"/>
          <w:i w:val="false"/>
          <w:iCs w:val="false"/>
          <w:sz w:val="20"/>
          <w:szCs w:val="20"/>
        </w:rPr>
        <w:t xml:space="preserve">The Data Inventory Register must be reviewed and updated at least quarterly and upon any new system implementation or decommission.</w:t>
      </w:r>
    </w:p>
    <w:p>
      <w:r>
        <w:t xml:space="preserve"/>
      </w:r>
    </w:p>
    <w:p>
      <w:pPr>
        <w:pStyle w:val="Heading1"/>
        <w:spacing w:before="360" w:after="120"/>
      </w:pPr>
      <w:r>
        <w:rPr>
          <w:rFonts w:ascii="Arial" w:cs="Arial" w:eastAsia="Arial" w:hAnsi="Arial"/>
          <w:b/>
          <w:bCs/>
          <w:color w:val="1F4E79"/>
          <w:sz w:val="32"/>
          <w:szCs w:val="32"/>
        </w:rPr>
        <w:t xml:space="preserve">5. Data Lifecycle Management</w:t>
      </w:r>
    </w:p>
    <w:p>
      <w:pPr>
        <w:spacing w:before="60" w:after="60"/>
      </w:pPr>
      <w:r>
        <w:rPr>
          <w:rFonts w:ascii="Arial" w:cs="Arial" w:eastAsia="Arial" w:hAnsi="Arial"/>
          <w:i w:val="false"/>
          <w:iCs w:val="false"/>
          <w:sz w:val="20"/>
          <w:szCs w:val="20"/>
        </w:rPr>
        <w:t xml:space="preserve">BBK applies governance controls at each stage of the data lifecycle:</w:t>
      </w:r>
    </w:p>
    <w:p>
      <w:pPr>
        <w:pStyle w:val="ListParagraph"/>
        <w:numPr>
          <w:ilvl w:val="0"/>
          <w:numId w:val="2"/>
        </w:numPr>
        <w:spacing w:before="40" w:after="40"/>
      </w:pPr>
      <w:r>
        <w:rPr>
          <w:rFonts w:ascii="Arial" w:cs="Arial" w:eastAsia="Arial" w:hAnsi="Arial"/>
          <w:sz w:val="20"/>
          <w:szCs w:val="20"/>
        </w:rPr>
        <w:t xml:space="preserve">Creation/Collection: Classification applied, privacy notice issued where required, lawful basis recorded.</w:t>
      </w:r>
    </w:p>
    <w:p>
      <w:pPr>
        <w:pStyle w:val="ListParagraph"/>
        <w:numPr>
          <w:ilvl w:val="0"/>
          <w:numId w:val="2"/>
        </w:numPr>
        <w:spacing w:before="40" w:after="40"/>
      </w:pPr>
      <w:r>
        <w:rPr>
          <w:rFonts w:ascii="Arial" w:cs="Arial" w:eastAsia="Arial" w:hAnsi="Arial"/>
          <w:sz w:val="20"/>
          <w:szCs w:val="20"/>
        </w:rPr>
        <w:t xml:space="preserve">Storage: Appropriate security controls enforced per classification level (see BBK-OPS-012).</w:t>
      </w:r>
    </w:p>
    <w:p>
      <w:pPr>
        <w:pStyle w:val="ListParagraph"/>
        <w:numPr>
          <w:ilvl w:val="0"/>
          <w:numId w:val="2"/>
        </w:numPr>
        <w:spacing w:before="40" w:after="40"/>
      </w:pPr>
      <w:r>
        <w:rPr>
          <w:rFonts w:ascii="Arial" w:cs="Arial" w:eastAsia="Arial" w:hAnsi="Arial"/>
          <w:sz w:val="20"/>
          <w:szCs w:val="20"/>
        </w:rPr>
        <w:t xml:space="preserve">Use &amp; Processing: Processing activities limited to stated purposes; audit logs maintained.</w:t>
      </w:r>
    </w:p>
    <w:p>
      <w:pPr>
        <w:pStyle w:val="ListParagraph"/>
        <w:numPr>
          <w:ilvl w:val="0"/>
          <w:numId w:val="2"/>
        </w:numPr>
        <w:spacing w:before="40" w:after="40"/>
      </w:pPr>
      <w:r>
        <w:rPr>
          <w:rFonts w:ascii="Arial" w:cs="Arial" w:eastAsia="Arial" w:hAnsi="Arial"/>
          <w:sz w:val="20"/>
          <w:szCs w:val="20"/>
        </w:rPr>
        <w:t xml:space="preserve">Sharing: Third-party agreements in place; transfers documented in the Data Sharing Register.</w:t>
      </w:r>
    </w:p>
    <w:p>
      <w:pPr>
        <w:pStyle w:val="ListParagraph"/>
        <w:numPr>
          <w:ilvl w:val="0"/>
          <w:numId w:val="2"/>
        </w:numPr>
        <w:spacing w:before="40" w:after="40"/>
      </w:pPr>
      <w:r>
        <w:rPr>
          <w:rFonts w:ascii="Arial" w:cs="Arial" w:eastAsia="Arial" w:hAnsi="Arial"/>
          <w:sz w:val="20"/>
          <w:szCs w:val="20"/>
        </w:rPr>
        <w:t xml:space="preserve">Archiving: Archived data subject to same security controls as active data; access restricted.</w:t>
      </w:r>
    </w:p>
    <w:p>
      <w:pPr>
        <w:pStyle w:val="ListParagraph"/>
        <w:numPr>
          <w:ilvl w:val="0"/>
          <w:numId w:val="2"/>
        </w:numPr>
        <w:spacing w:before="40" w:after="40"/>
      </w:pPr>
      <w:r>
        <w:rPr>
          <w:rFonts w:ascii="Arial" w:cs="Arial" w:eastAsia="Arial" w:hAnsi="Arial"/>
          <w:sz w:val="20"/>
          <w:szCs w:val="20"/>
        </w:rPr>
        <w:t xml:space="preserve">Disposal: Disposal executed per retention schedule; Certificate of Destruction obtained and filed.</w:t>
      </w:r>
    </w:p>
    <w:p>
      <w:r>
        <w:t xml:space="preserve"/>
      </w:r>
    </w:p>
    <w:p>
      <w:pPr>
        <w:pStyle w:val="Heading1"/>
        <w:spacing w:before="360" w:after="120"/>
      </w:pPr>
      <w:r>
        <w:rPr>
          <w:rFonts w:ascii="Arial" w:cs="Arial" w:eastAsia="Arial" w:hAnsi="Arial"/>
          <w:b/>
          <w:bCs/>
          <w:color w:val="1F4E79"/>
          <w:sz w:val="32"/>
          <w:szCs w:val="32"/>
        </w:rPr>
        <w:t xml:space="preserve">6. Privacy Impact Assessments</w:t>
      </w:r>
    </w:p>
    <w:p>
      <w:pPr>
        <w:spacing w:before="60" w:after="60"/>
      </w:pPr>
      <w:r>
        <w:rPr>
          <w:rFonts w:ascii="Arial" w:cs="Arial" w:eastAsia="Arial" w:hAnsi="Arial"/>
          <w:i w:val="false"/>
          <w:iCs w:val="false"/>
          <w:sz w:val="20"/>
          <w:szCs w:val="20"/>
        </w:rPr>
        <w:t xml:space="preserve">A Privacy Impact Assessment (PIA) or Data Protection Impact Assessment (DPIA) is mandatory for:</w:t>
      </w:r>
    </w:p>
    <w:p>
      <w:pPr>
        <w:pStyle w:val="ListParagraph"/>
        <w:numPr>
          <w:ilvl w:val="0"/>
          <w:numId w:val="2"/>
        </w:numPr>
        <w:spacing w:before="40" w:after="40"/>
      </w:pPr>
      <w:r>
        <w:rPr>
          <w:rFonts w:ascii="Arial" w:cs="Arial" w:eastAsia="Arial" w:hAnsi="Arial"/>
          <w:sz w:val="20"/>
          <w:szCs w:val="20"/>
        </w:rPr>
        <w:t xml:space="preserve">Any new system or process involving large-scale processing of personal data.</w:t>
      </w:r>
    </w:p>
    <w:p>
      <w:pPr>
        <w:pStyle w:val="ListParagraph"/>
        <w:numPr>
          <w:ilvl w:val="0"/>
          <w:numId w:val="2"/>
        </w:numPr>
        <w:spacing w:before="40" w:after="40"/>
      </w:pPr>
      <w:r>
        <w:rPr>
          <w:rFonts w:ascii="Arial" w:cs="Arial" w:eastAsia="Arial" w:hAnsi="Arial"/>
          <w:sz w:val="20"/>
          <w:szCs w:val="20"/>
        </w:rPr>
        <w:t xml:space="preserve">Processing of sensitive personal data.</w:t>
      </w:r>
    </w:p>
    <w:p>
      <w:pPr>
        <w:pStyle w:val="ListParagraph"/>
        <w:numPr>
          <w:ilvl w:val="0"/>
          <w:numId w:val="2"/>
        </w:numPr>
        <w:spacing w:before="40" w:after="40"/>
      </w:pPr>
      <w:r>
        <w:rPr>
          <w:rFonts w:ascii="Arial" w:cs="Arial" w:eastAsia="Arial" w:hAnsi="Arial"/>
          <w:sz w:val="20"/>
          <w:szCs w:val="20"/>
        </w:rPr>
        <w:t xml:space="preserve">Systematic monitoring of individuals (including employees).</w:t>
      </w:r>
    </w:p>
    <w:p>
      <w:pPr>
        <w:pStyle w:val="ListParagraph"/>
        <w:numPr>
          <w:ilvl w:val="0"/>
          <w:numId w:val="2"/>
        </w:numPr>
        <w:spacing w:before="40" w:after="40"/>
      </w:pPr>
      <w:r>
        <w:rPr>
          <w:rFonts w:ascii="Arial" w:cs="Arial" w:eastAsia="Arial" w:hAnsi="Arial"/>
          <w:sz w:val="20"/>
          <w:szCs w:val="20"/>
        </w:rPr>
        <w:t xml:space="preserve">Deployment of new technologies with privacy implications (e.g., biometrics, AI scoring models).</w:t>
      </w:r>
    </w:p>
    <w:p>
      <w:pPr>
        <w:pStyle w:val="ListParagraph"/>
        <w:numPr>
          <w:ilvl w:val="0"/>
          <w:numId w:val="2"/>
        </w:numPr>
        <w:spacing w:before="40" w:after="40"/>
      </w:pPr>
      <w:r>
        <w:rPr>
          <w:rFonts w:ascii="Arial" w:cs="Arial" w:eastAsia="Arial" w:hAnsi="Arial"/>
          <w:sz w:val="20"/>
          <w:szCs w:val="20"/>
        </w:rPr>
        <w:t xml:space="preserve">Cross-border transfer of personal data to new jurisdictions.</w:t>
      </w:r>
    </w:p>
    <w:p>
      <w:pPr>
        <w:spacing w:before="60" w:after="60"/>
      </w:pPr>
      <w:r>
        <w:rPr>
          <w:rFonts w:ascii="Arial" w:cs="Arial" w:eastAsia="Arial" w:hAnsi="Arial"/>
          <w:i w:val="false"/>
          <w:iCs w:val="false"/>
          <w:sz w:val="20"/>
          <w:szCs w:val="20"/>
        </w:rPr>
        <w:t xml:space="preserve">PIAs must be approved by the DPO before the relevant processing activity commences. A register of all PIAs is maintained by the Legal &amp; Compliance Division.</w:t>
      </w:r>
    </w:p>
    <w:p>
      <w:r>
        <w:t xml:space="preserve"/>
      </w:r>
    </w:p>
    <w:p>
      <w:pPr>
        <w:pStyle w:val="Heading1"/>
        <w:spacing w:before="360" w:after="120"/>
      </w:pPr>
      <w:r>
        <w:rPr>
          <w:rFonts w:ascii="Arial" w:cs="Arial" w:eastAsia="Arial" w:hAnsi="Arial"/>
          <w:b/>
          <w:bCs/>
          <w:color w:val="1F4E79"/>
          <w:sz w:val="32"/>
          <w:szCs w:val="32"/>
        </w:rPr>
        <w:t xml:space="preserve">7. Training and Awareness</w:t>
      </w:r>
    </w:p>
    <w:p>
      <w:pPr>
        <w:spacing w:before="60" w:after="60"/>
      </w:pPr>
      <w:r>
        <w:rPr>
          <w:rFonts w:ascii="Arial" w:cs="Arial" w:eastAsia="Arial" w:hAnsi="Arial"/>
          <w:i w:val="false"/>
          <w:iCs w:val="false"/>
          <w:sz w:val="20"/>
          <w:szCs w:val="20"/>
        </w:rPr>
        <w:t xml:space="preserve">All employees with access to personal or confidential data must complete:</w:t>
      </w:r>
    </w:p>
    <w:p>
      <w:pPr>
        <w:pStyle w:val="ListParagraph"/>
        <w:numPr>
          <w:ilvl w:val="0"/>
          <w:numId w:val="2"/>
        </w:numPr>
        <w:spacing w:before="40" w:after="40"/>
      </w:pPr>
      <w:r>
        <w:rPr>
          <w:rFonts w:ascii="Arial" w:cs="Arial" w:eastAsia="Arial" w:hAnsi="Arial"/>
          <w:sz w:val="20"/>
          <w:szCs w:val="20"/>
        </w:rPr>
        <w:t xml:space="preserve">Mandatory data governance and privacy induction training on joining BBK.</w:t>
      </w:r>
    </w:p>
    <w:p>
      <w:pPr>
        <w:pStyle w:val="ListParagraph"/>
        <w:numPr>
          <w:ilvl w:val="0"/>
          <w:numId w:val="2"/>
        </w:numPr>
        <w:spacing w:before="40" w:after="40"/>
      </w:pPr>
      <w:r>
        <w:rPr>
          <w:rFonts w:ascii="Arial" w:cs="Arial" w:eastAsia="Arial" w:hAnsi="Arial"/>
          <w:sz w:val="20"/>
          <w:szCs w:val="20"/>
        </w:rPr>
        <w:t xml:space="preserve">Annual refresher training covering this Policy, BBK-LGL-001, and BBK-OPS-012.</w:t>
      </w:r>
    </w:p>
    <w:p>
      <w:pPr>
        <w:pStyle w:val="ListParagraph"/>
        <w:numPr>
          <w:ilvl w:val="0"/>
          <w:numId w:val="2"/>
        </w:numPr>
        <w:spacing w:before="40" w:after="40"/>
      </w:pPr>
      <w:r>
        <w:rPr>
          <w:rFonts w:ascii="Arial" w:cs="Arial" w:eastAsia="Arial" w:hAnsi="Arial"/>
          <w:sz w:val="20"/>
          <w:szCs w:val="20"/>
        </w:rPr>
        <w:t xml:space="preserve">Role-specific training for Data Owners, Data Stewards, and Privacy Liaison Officers.</w:t>
      </w:r>
    </w:p>
    <w:p>
      <w:pPr>
        <w:spacing w:before="60" w:after="60"/>
      </w:pPr>
      <w:r>
        <w:rPr>
          <w:rFonts w:ascii="Arial" w:cs="Arial" w:eastAsia="Arial" w:hAnsi="Arial"/>
          <w:i w:val="false"/>
          <w:iCs w:val="false"/>
          <w:sz w:val="20"/>
          <w:szCs w:val="20"/>
        </w:rPr>
        <w:t xml:space="preserve">Training completion is monitored by Human Resources and reported to the DGC annually.</w:t>
      </w:r>
    </w:p>
    <w:p>
      <w:r>
        <w:t xml:space="preserve"/>
      </w:r>
    </w:p>
    <w:p>
      <w:pPr>
        <w:pStyle w:val="Heading1"/>
        <w:spacing w:before="360" w:after="120"/>
      </w:pPr>
      <w:r>
        <w:rPr>
          <w:rFonts w:ascii="Arial" w:cs="Arial" w:eastAsia="Arial" w:hAnsi="Arial"/>
          <w:b/>
          <w:bCs/>
          <w:color w:val="1F4E79"/>
          <w:sz w:val="32"/>
          <w:szCs w:val="32"/>
        </w:rPr>
        <w:t xml:space="preserve">8. Audit and Review</w:t>
      </w:r>
    </w:p>
    <w:p>
      <w:pPr>
        <w:spacing w:before="60" w:after="60"/>
      </w:pPr>
      <w:r>
        <w:rPr>
          <w:rFonts w:ascii="Arial" w:cs="Arial" w:eastAsia="Arial" w:hAnsi="Arial"/>
          <w:i w:val="false"/>
          <w:iCs w:val="false"/>
          <w:sz w:val="20"/>
          <w:szCs w:val="20"/>
        </w:rPr>
        <w:t xml:space="preserve">Internal Audit shall conduct an independent review of BBK's data governance practices at least once every two years. Findings shall be reported to the Audit Committee and remediation tracked through the Issues Management process. This Policy shall be reviewed annually by the DGC.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2026-03-26T06:33:16.237Z</dcterms:created>
  <dcterms:modified xsi:type="dcterms:W3CDTF">2026-03-26T06:33:16.237Z</dcterms:modified>
</cp:coreProperties>
</file>

<file path=docProps/custom.xml><?xml version="1.0" encoding="utf-8"?>
<Properties xmlns="http://schemas.openxmlformats.org/officeDocument/2006/custom-properties" xmlns:vt="http://schemas.openxmlformats.org/officeDocument/2006/docPropsVTypes"/>
</file>