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400"/>
        <w:jc w:val="center"/>
      </w:pPr>
      <w:r>
        <w:rPr>
          <w:rFonts w:ascii="Arial" w:cs="Arial" w:eastAsia="Arial" w:hAnsi="Arial"/>
          <w:color w:val="555555"/>
          <w:sz w:val="24"/>
          <w:szCs w:val="24"/>
        </w:rPr>
        <w:t xml:space="preserve">Bank of Bahrain and Kuwait</w:t>
      </w:r>
    </w:p>
    <w:p>
      <w:pPr>
        <w:pBdr>
          <w:bottom w:val="single" w:color="2E75B6" w:sz="6" w:space="1"/>
        </w:pBdr>
        <w:spacing w:before="120" w:after="120"/>
      </w:pPr>
      <w:r>
        <w:t xml:space="preserve"/>
      </w:r>
    </w:p>
    <w:p>
      <w:pPr>
        <w:spacing w:before="400" w:after="120"/>
        <w:jc w:val="center"/>
      </w:pPr>
      <w:r>
        <w:rPr>
          <w:rFonts w:ascii="Arial" w:cs="Arial" w:eastAsia="Arial" w:hAnsi="Arial"/>
          <w:b/>
          <w:bCs/>
          <w:color w:val="1A1A1A"/>
          <w:sz w:val="40"/>
          <w:szCs w:val="40"/>
        </w:rPr>
        <w:t xml:space="preserve">Data Privacy &amp; Protection Policy</w:t>
      </w:r>
    </w:p>
    <w:p>
      <w:pPr>
        <w:spacing w:before="60" w:after="600"/>
        <w:jc w:val="center"/>
      </w:pPr>
      <w:r>
        <w:rPr>
          <w:rFonts w:ascii="Arial" w:cs="Arial" w:eastAsia="Arial" w:hAnsi="Arial"/>
          <w:i/>
          <w:iCs/>
          <w:color w:val="888888"/>
          <w:sz w:val="22"/>
          <w:szCs w:val="22"/>
        </w:rPr>
        <w:t xml:space="preserve">Internal Policy Document — Confidential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BBK-LGL-001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January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&amp; Compliance Division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 — INTERNAL USE ONLY</w:t>
            </w:r>
          </w:p>
        </w:tc>
      </w:tr>
    </w:tbl>
    <w:p>
      <w:pPr>
        <w:pageBreakBefore/>
      </w:pPr>
      <w:r>
        <w:t xml:space="preserve"/>
      </w:r>
    </w:p>
    <w:p>
      <w:pPr>
        <w:pStyle w:val="Heading1"/>
        <w:spacing w:before="360" w:after="120"/>
      </w:pPr>
      <w:r>
        <w:rPr>
          <w:rFonts w:ascii="Arial" w:cs="Arial" w:eastAsia="Arial" w:hAnsi="Arial"/>
          <w:b/>
          <w:bCs/>
          <w:color w:val="1F4E79"/>
          <w:sz w:val="32"/>
          <w:szCs w:val="32"/>
        </w:rPr>
        <w:t xml:space="preserve">1. Purpose and Scope</w:t>
      </w:r>
    </w:p>
    <w:p>
      <w:pPr>
        <w:spacing w:before="60" w:after="60"/>
      </w:pPr>
      <w:r>
        <w:rPr>
          <w:rFonts w:ascii="Arial" w:cs="Arial" w:eastAsia="Arial" w:hAnsi="Arial"/>
          <w:i w:val="false"/>
          <w:iCs w:val="false"/>
          <w:sz w:val="20"/>
          <w:szCs w:val="20"/>
        </w:rPr>
        <w:t xml:space="preserve">This Policy establishes BBK's commitment to protecting personal data in accordance with applicable data protection laws across all jurisdictions in which the Bank operates, including the Kingdom of Bahrain, Kuwait, and any other jurisdiction where BBK maintains operations or processes personal data.</w:t>
      </w:r>
    </w:p>
    <w:p>
      <w:pPr>
        <w:spacing w:before="60" w:after="60"/>
      </w:pPr>
      <w:r>
        <w:rPr>
          <w:rFonts w:ascii="Arial" w:cs="Arial" w:eastAsia="Arial" w:hAnsi="Arial"/>
          <w:i w:val="false"/>
          <w:iCs w:val="false"/>
          <w:sz w:val="20"/>
          <w:szCs w:val="20"/>
        </w:rPr>
        <w:t xml:space="preserve">This Policy applies to all BBK employees, contractors, third-party service providers, and any party that processes personal data on behalf of BBK. It covers all personal data processed in any medium, including digital and physical formats.</w:t>
      </w:r>
    </w:p>
    <w:p>
      <w:r>
        <w:t xml:space="preserve"/>
      </w:r>
    </w:p>
    <w:p>
      <w:pPr>
        <w:pStyle w:val="Heading1"/>
        <w:spacing w:before="360" w:after="120"/>
      </w:pPr>
      <w:r>
        <w:rPr>
          <w:rFonts w:ascii="Arial" w:cs="Arial" w:eastAsia="Arial" w:hAnsi="Arial"/>
          <w:b/>
          <w:bCs/>
          <w:color w:val="1F4E79"/>
          <w:sz w:val="32"/>
          <w:szCs w:val="32"/>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Personal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information relating to an identified or identifiable natural person, including name, identification number, location data, or online identifier.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Subject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individual to whom personal data relates.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operation performed on personal data, including collection, storage, use, disclosure, and deletion.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 as the entity that determines the purposes and means of processing personal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Sensitive Personal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revealing racial or ethnic origin, political opinions, religious beliefs, biometric data, health data, or financial information.</w:t>
            </w:r>
          </w:p>
        </w:tc>
      </w:tr>
    </w:tbl>
    <w:p>
      <w:r>
        <w:t xml:space="preserve"/>
      </w:r>
    </w:p>
    <w:p>
      <w:pPr>
        <w:pStyle w:val="Heading1"/>
        <w:spacing w:before="360" w:after="120"/>
      </w:pPr>
      <w:r>
        <w:rPr>
          <w:rFonts w:ascii="Arial" w:cs="Arial" w:eastAsia="Arial" w:hAnsi="Arial"/>
          <w:b/>
          <w:bCs/>
          <w:color w:val="1F4E79"/>
          <w:sz w:val="32"/>
          <w:szCs w:val="32"/>
        </w:rPr>
        <w:t xml:space="preserve">3. Data Protection Principles</w:t>
      </w:r>
    </w:p>
    <w:p>
      <w:pPr>
        <w:spacing w:before="60" w:after="60"/>
      </w:pPr>
      <w:r>
        <w:rPr>
          <w:rFonts w:ascii="Arial" w:cs="Arial" w:eastAsia="Arial" w:hAnsi="Arial"/>
          <w:i w:val="false"/>
          <w:iCs w:val="false"/>
          <w:sz w:val="20"/>
          <w:szCs w:val="20"/>
        </w:rPr>
        <w:t xml:space="preserve">BBK processes personal data in accordance with the following principles:</w:t>
      </w:r>
    </w:p>
    <w:p>
      <w:pPr>
        <w:pStyle w:val="ListParagraph"/>
        <w:numPr>
          <w:ilvl w:val="0"/>
          <w:numId w:val="2"/>
        </w:numPr>
        <w:spacing w:before="40" w:after="40"/>
      </w:pPr>
      <w:r>
        <w:rPr>
          <w:rFonts w:ascii="Arial" w:cs="Arial" w:eastAsia="Arial" w:hAnsi="Arial"/>
          <w:sz w:val="20"/>
          <w:szCs w:val="20"/>
        </w:rPr>
        <w:t xml:space="preserve">Lawfulness, Fairness and Transparency: Personal data shall be processed lawfully and in a transparent manner.</w:t>
      </w:r>
    </w:p>
    <w:p>
      <w:pPr>
        <w:pStyle w:val="ListParagraph"/>
        <w:numPr>
          <w:ilvl w:val="0"/>
          <w:numId w:val="2"/>
        </w:numPr>
        <w:spacing w:before="40" w:after="40"/>
      </w:pPr>
      <w:r>
        <w:rPr>
          <w:rFonts w:ascii="Arial" w:cs="Arial" w:eastAsia="Arial" w:hAnsi="Arial"/>
          <w:sz w:val="20"/>
          <w:szCs w:val="20"/>
        </w:rPr>
        <w:t xml:space="preserve">Purpose Limitation: Personal data shall be collected for specified, explicit, and legitimate purposes and shall not be processed in a manner incompatible with those purposes.</w:t>
      </w:r>
    </w:p>
    <w:p>
      <w:pPr>
        <w:pStyle w:val="ListParagraph"/>
        <w:numPr>
          <w:ilvl w:val="0"/>
          <w:numId w:val="2"/>
        </w:numPr>
        <w:spacing w:before="40" w:after="40"/>
      </w:pPr>
      <w:r>
        <w:rPr>
          <w:rFonts w:ascii="Arial" w:cs="Arial" w:eastAsia="Arial" w:hAnsi="Arial"/>
          <w:sz w:val="20"/>
          <w:szCs w:val="20"/>
        </w:rPr>
        <w:t xml:space="preserve">Data Minimisation: Only data that is adequate, relevant, and limited to what is necessary shall be collected.</w:t>
      </w:r>
    </w:p>
    <w:p>
      <w:pPr>
        <w:pStyle w:val="ListParagraph"/>
        <w:numPr>
          <w:ilvl w:val="0"/>
          <w:numId w:val="2"/>
        </w:numPr>
        <w:spacing w:before="40" w:after="40"/>
      </w:pPr>
      <w:r>
        <w:rPr>
          <w:rFonts w:ascii="Arial" w:cs="Arial" w:eastAsia="Arial" w:hAnsi="Arial"/>
          <w:sz w:val="20"/>
          <w:szCs w:val="20"/>
        </w:rPr>
        <w:t xml:space="preserve">Accuracy: Personal data shall be accurate and kept up to date.</w:t>
      </w:r>
    </w:p>
    <w:p>
      <w:pPr>
        <w:pStyle w:val="ListParagraph"/>
        <w:numPr>
          <w:ilvl w:val="0"/>
          <w:numId w:val="2"/>
        </w:numPr>
        <w:spacing w:before="40" w:after="40"/>
      </w:pPr>
      <w:r>
        <w:rPr>
          <w:rFonts w:ascii="Arial" w:cs="Arial" w:eastAsia="Arial" w:hAnsi="Arial"/>
          <w:sz w:val="20"/>
          <w:szCs w:val="20"/>
        </w:rPr>
        <w:t xml:space="preserve">Storage Limitation: Personal data shall not be retained longer than necessary for its stated purpose.</w:t>
      </w:r>
    </w:p>
    <w:p>
      <w:pPr>
        <w:pStyle w:val="ListParagraph"/>
        <w:numPr>
          <w:ilvl w:val="0"/>
          <w:numId w:val="2"/>
        </w:numPr>
        <w:spacing w:before="40" w:after="40"/>
      </w:pPr>
      <w:r>
        <w:rPr>
          <w:rFonts w:ascii="Arial" w:cs="Arial" w:eastAsia="Arial" w:hAnsi="Arial"/>
          <w:sz w:val="20"/>
          <w:szCs w:val="20"/>
        </w:rPr>
        <w:t xml:space="preserve">Integrity and Confidentiality: Personal data shall be processed with appropriate security safeguards.</w:t>
      </w:r>
    </w:p>
    <w:p>
      <w:pPr>
        <w:pStyle w:val="ListParagraph"/>
        <w:numPr>
          <w:ilvl w:val="0"/>
          <w:numId w:val="2"/>
        </w:numPr>
        <w:spacing w:before="40" w:after="40"/>
      </w:pPr>
      <w:r>
        <w:rPr>
          <w:rFonts w:ascii="Arial" w:cs="Arial" w:eastAsia="Arial" w:hAnsi="Arial"/>
          <w:sz w:val="20"/>
          <w:szCs w:val="20"/>
        </w:rPr>
        <w:t xml:space="preserve">Accountability: BBK shall be responsible for, and be able to demonstrate, compliance with these principles.</w:t>
      </w:r>
    </w:p>
    <w:p>
      <w:r>
        <w:t xml:space="preserve"/>
      </w:r>
    </w:p>
    <w:p>
      <w:pPr>
        <w:pStyle w:val="Heading1"/>
        <w:spacing w:before="360" w:after="120"/>
      </w:pPr>
      <w:r>
        <w:rPr>
          <w:rFonts w:ascii="Arial" w:cs="Arial" w:eastAsia="Arial" w:hAnsi="Arial"/>
          <w:b/>
          <w:bCs/>
          <w:color w:val="1F4E79"/>
          <w:sz w:val="32"/>
          <w:szCs w:val="32"/>
        </w:rPr>
        <w:t xml:space="preserve">4. Lawful Basis for Processing</w:t>
      </w:r>
    </w:p>
    <w:p>
      <w:pPr>
        <w:spacing w:before="60" w:after="60"/>
      </w:pPr>
      <w:r>
        <w:rPr>
          <w:rFonts w:ascii="Arial" w:cs="Arial" w:eastAsia="Arial" w:hAnsi="Arial"/>
          <w:i w:val="false"/>
          <w:iCs w:val="false"/>
          <w:sz w:val="20"/>
          <w:szCs w:val="20"/>
        </w:rPr>
        <w:t xml:space="preserve">BBK processes personal data only when at least one of the following lawful bases applies:</w:t>
      </w:r>
    </w:p>
    <w:p>
      <w:pPr>
        <w:pStyle w:val="ListParagraph"/>
        <w:numPr>
          <w:ilvl w:val="0"/>
          <w:numId w:val="2"/>
        </w:numPr>
        <w:spacing w:before="40" w:after="40"/>
      </w:pPr>
      <w:r>
        <w:rPr>
          <w:rFonts w:ascii="Arial" w:cs="Arial" w:eastAsia="Arial" w:hAnsi="Arial"/>
          <w:sz w:val="20"/>
          <w:szCs w:val="20"/>
        </w:rPr>
        <w:t xml:space="preserve">Consent: The data subject has given clear and informed consent for one or more specific purposes.</w:t>
      </w:r>
    </w:p>
    <w:p>
      <w:pPr>
        <w:pStyle w:val="ListParagraph"/>
        <w:numPr>
          <w:ilvl w:val="0"/>
          <w:numId w:val="2"/>
        </w:numPr>
        <w:spacing w:before="40" w:after="40"/>
      </w:pPr>
      <w:r>
        <w:rPr>
          <w:rFonts w:ascii="Arial" w:cs="Arial" w:eastAsia="Arial" w:hAnsi="Arial"/>
          <w:sz w:val="20"/>
          <w:szCs w:val="20"/>
        </w:rPr>
        <w:t xml:space="preserve">Contractual Necessity: Processing is necessary for the performance of a contract to which the data subject is a party.</w:t>
      </w:r>
    </w:p>
    <w:p>
      <w:pPr>
        <w:pStyle w:val="ListParagraph"/>
        <w:numPr>
          <w:ilvl w:val="0"/>
          <w:numId w:val="2"/>
        </w:numPr>
        <w:spacing w:before="40" w:after="40"/>
      </w:pPr>
      <w:r>
        <w:rPr>
          <w:rFonts w:ascii="Arial" w:cs="Arial" w:eastAsia="Arial" w:hAnsi="Arial"/>
          <w:sz w:val="20"/>
          <w:szCs w:val="20"/>
        </w:rPr>
        <w:t xml:space="preserve">Legal Obligation: Processing is necessary for compliance with a legal obligation imposed on BBK.</w:t>
      </w:r>
    </w:p>
    <w:p>
      <w:pPr>
        <w:pStyle w:val="ListParagraph"/>
        <w:numPr>
          <w:ilvl w:val="0"/>
          <w:numId w:val="2"/>
        </w:numPr>
        <w:spacing w:before="40" w:after="40"/>
      </w:pPr>
      <w:r>
        <w:rPr>
          <w:rFonts w:ascii="Arial" w:cs="Arial" w:eastAsia="Arial" w:hAnsi="Arial"/>
          <w:sz w:val="20"/>
          <w:szCs w:val="20"/>
        </w:rPr>
        <w:t xml:space="preserve">Legitimate Interests: Processing is necessary for BBK's legitimate interests, provided these are not overridden by the interests or rights of the data subject.</w:t>
      </w:r>
    </w:p>
    <w:p>
      <w:pPr>
        <w:pStyle w:val="ListParagraph"/>
        <w:numPr>
          <w:ilvl w:val="0"/>
          <w:numId w:val="2"/>
        </w:numPr>
        <w:spacing w:before="40" w:after="40"/>
      </w:pPr>
      <w:r>
        <w:rPr>
          <w:rFonts w:ascii="Arial" w:cs="Arial" w:eastAsia="Arial" w:hAnsi="Arial"/>
          <w:sz w:val="20"/>
          <w:szCs w:val="20"/>
        </w:rPr>
        <w:t xml:space="preserve">Vital Interests: Processing is necessary to protect the vital interests of the data subject or another person.</w:t>
      </w:r>
    </w:p>
    <w:p>
      <w:r>
        <w:t xml:space="preserve"/>
      </w:r>
    </w:p>
    <w:p>
      <w:pPr>
        <w:pStyle w:val="Heading1"/>
        <w:spacing w:before="360" w:after="120"/>
      </w:pPr>
      <w:r>
        <w:rPr>
          <w:rFonts w:ascii="Arial" w:cs="Arial" w:eastAsia="Arial" w:hAnsi="Arial"/>
          <w:b/>
          <w:bCs/>
          <w:color w:val="1F4E79"/>
          <w:sz w:val="32"/>
          <w:szCs w:val="32"/>
        </w:rPr>
        <w:t xml:space="preserve">5. Data Subject Rights</w:t>
      </w:r>
    </w:p>
    <w:p>
      <w:pPr>
        <w:spacing w:before="60" w:after="60"/>
      </w:pPr>
      <w:r>
        <w:rPr>
          <w:rFonts w:ascii="Arial" w:cs="Arial" w:eastAsia="Arial" w:hAnsi="Arial"/>
          <w:i w:val="false"/>
          <w:iCs w:val="false"/>
          <w:sz w:val="20"/>
          <w:szCs w:val="20"/>
        </w:rPr>
        <w:t xml:space="preserve">BBK recognizes and facilitates the exercise of the following data subject rights:</w:t>
      </w:r>
    </w:p>
    <w:p>
      <w:pPr>
        <w:pStyle w:val="ListParagraph"/>
        <w:numPr>
          <w:ilvl w:val="0"/>
          <w:numId w:val="2"/>
        </w:numPr>
        <w:spacing w:before="40" w:after="40"/>
      </w:pPr>
      <w:r>
        <w:rPr>
          <w:rFonts w:ascii="Arial" w:cs="Arial" w:eastAsia="Arial" w:hAnsi="Arial"/>
          <w:sz w:val="20"/>
          <w:szCs w:val="20"/>
        </w:rPr>
        <w:t xml:space="preserve">Right of Access: Data subjects may request confirmation of whether their personal data is being processed and obtain a copy of that data.</w:t>
      </w:r>
    </w:p>
    <w:p>
      <w:pPr>
        <w:pStyle w:val="ListParagraph"/>
        <w:numPr>
          <w:ilvl w:val="0"/>
          <w:numId w:val="2"/>
        </w:numPr>
        <w:spacing w:before="40" w:after="40"/>
      </w:pPr>
      <w:r>
        <w:rPr>
          <w:rFonts w:ascii="Arial" w:cs="Arial" w:eastAsia="Arial" w:hAnsi="Arial"/>
          <w:sz w:val="20"/>
          <w:szCs w:val="20"/>
        </w:rPr>
        <w:t xml:space="preserve">Right to Rectification: Data subjects may request correction of inaccurate personal data.</w:t>
      </w:r>
    </w:p>
    <w:p>
      <w:pPr>
        <w:pStyle w:val="ListParagraph"/>
        <w:numPr>
          <w:ilvl w:val="0"/>
          <w:numId w:val="2"/>
        </w:numPr>
        <w:spacing w:before="40" w:after="40"/>
      </w:pPr>
      <w:r>
        <w:rPr>
          <w:rFonts w:ascii="Arial" w:cs="Arial" w:eastAsia="Arial" w:hAnsi="Arial"/>
          <w:sz w:val="20"/>
          <w:szCs w:val="20"/>
        </w:rPr>
        <w:t xml:space="preserve">Right to Erasure: Data subjects may request deletion of personal data where there is no compelling reason for its continued processing.</w:t>
      </w:r>
    </w:p>
    <w:p>
      <w:pPr>
        <w:pStyle w:val="ListParagraph"/>
        <w:numPr>
          <w:ilvl w:val="0"/>
          <w:numId w:val="2"/>
        </w:numPr>
        <w:spacing w:before="40" w:after="40"/>
      </w:pPr>
      <w:r>
        <w:rPr>
          <w:rFonts w:ascii="Arial" w:cs="Arial" w:eastAsia="Arial" w:hAnsi="Arial"/>
          <w:sz w:val="20"/>
          <w:szCs w:val="20"/>
        </w:rPr>
        <w:t xml:space="preserve">Right to Restrict Processing: Data subjects may request that BBK restricts the processing of their personal data under certain conditions.</w:t>
      </w:r>
    </w:p>
    <w:p>
      <w:pPr>
        <w:pStyle w:val="ListParagraph"/>
        <w:numPr>
          <w:ilvl w:val="0"/>
          <w:numId w:val="2"/>
        </w:numPr>
        <w:spacing w:before="40" w:after="40"/>
      </w:pPr>
      <w:r>
        <w:rPr>
          <w:rFonts w:ascii="Arial" w:cs="Arial" w:eastAsia="Arial" w:hAnsi="Arial"/>
          <w:sz w:val="20"/>
          <w:szCs w:val="20"/>
        </w:rPr>
        <w:t xml:space="preserve">Right to Data Portability: Data subjects may request their personal data in a structured, commonly used format.</w:t>
      </w:r>
    </w:p>
    <w:p>
      <w:pPr>
        <w:pStyle w:val="ListParagraph"/>
        <w:numPr>
          <w:ilvl w:val="0"/>
          <w:numId w:val="2"/>
        </w:numPr>
        <w:spacing w:before="40" w:after="40"/>
      </w:pPr>
      <w:r>
        <w:rPr>
          <w:rFonts w:ascii="Arial" w:cs="Arial" w:eastAsia="Arial" w:hAnsi="Arial"/>
          <w:sz w:val="20"/>
          <w:szCs w:val="20"/>
        </w:rPr>
        <w:t xml:space="preserve">Right to Object: Data subjects may object to processing based on legitimate interests or for direct marketing purposes.</w:t>
      </w:r>
    </w:p>
    <w:p>
      <w:pPr>
        <w:spacing w:before="60" w:after="60"/>
      </w:pPr>
      <w:r>
        <w:rPr>
          <w:rFonts w:ascii="Arial" w:cs="Arial" w:eastAsia="Arial" w:hAnsi="Arial"/>
          <w:i w:val="false"/>
          <w:iCs w:val="false"/>
          <w:sz w:val="20"/>
          <w:szCs w:val="20"/>
        </w:rPr>
        <w:t xml:space="preserve">Requests shall be responded to within thirty (30) calendar days. Complex requests may be extended by a further sixty (60) days with notice to the data subject.</w:t>
      </w:r>
    </w:p>
    <w:p>
      <w:r>
        <w:t xml:space="preserve"/>
      </w:r>
    </w:p>
    <w:p>
      <w:pPr>
        <w:pStyle w:val="Heading1"/>
        <w:spacing w:before="360" w:after="120"/>
      </w:pPr>
      <w:r>
        <w:rPr>
          <w:rFonts w:ascii="Arial" w:cs="Arial" w:eastAsia="Arial" w:hAnsi="Arial"/>
          <w:b/>
          <w:bCs/>
          <w:color w:val="1F4E79"/>
          <w:sz w:val="32"/>
          <w:szCs w:val="32"/>
        </w:rPr>
        <w:t xml:space="preserve">6. Data Retention</w:t>
      </w:r>
    </w:p>
    <w:p>
      <w:pPr>
        <w:spacing w:before="60" w:after="60"/>
      </w:pPr>
      <w:r>
        <w:rPr>
          <w:rFonts w:ascii="Arial" w:cs="Arial" w:eastAsia="Arial" w:hAnsi="Arial"/>
          <w:i w:val="false"/>
          <w:iCs w:val="false"/>
          <w:sz w:val="20"/>
          <w:szCs w:val="20"/>
        </w:rPr>
        <w:t xml:space="preserve">Personal data shall be retained only for the period necessary to fulfill the purpose for which it was collected, and in compliance with applicable regulatory retention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Category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Retention Period</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Basis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KYC / Customer Identification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years after relationship ends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Regulatory requirement (CBB / CBK)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Transaction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years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AML / CTF compliance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Employee Personal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years post-employment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Labour law compliance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Marketing Preferences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Until consent withdrawn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Consent-based processing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CCTV / Surveillance Footage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security &amp; proportionality</w:t>
            </w:r>
          </w:p>
        </w:tc>
      </w:tr>
    </w:tbl>
    <w:p>
      <w:r>
        <w:t xml:space="preserve"/>
      </w:r>
    </w:p>
    <w:p>
      <w:pPr>
        <w:pStyle w:val="Heading1"/>
        <w:spacing w:before="360" w:after="120"/>
      </w:pPr>
      <w:r>
        <w:rPr>
          <w:rFonts w:ascii="Arial" w:cs="Arial" w:eastAsia="Arial" w:hAnsi="Arial"/>
          <w:b/>
          <w:bCs/>
          <w:color w:val="1F4E79"/>
          <w:sz w:val="32"/>
          <w:szCs w:val="32"/>
        </w:rPr>
        <w:t xml:space="preserve">7. Cross-Border Data Transfers</w:t>
      </w:r>
    </w:p>
    <w:p>
      <w:pPr>
        <w:spacing w:before="60" w:after="60"/>
      </w:pPr>
      <w:r>
        <w:rPr>
          <w:rFonts w:ascii="Arial" w:cs="Arial" w:eastAsia="Arial" w:hAnsi="Arial"/>
          <w:i w:val="false"/>
          <w:iCs w:val="false"/>
          <w:sz w:val="20"/>
          <w:szCs w:val="20"/>
        </w:rPr>
        <w:t xml:space="preserve">Transfers of personal data outside the Kingdom of Bahrain or Kuwait shall only occur where:</w:t>
      </w:r>
    </w:p>
    <w:p>
      <w:pPr>
        <w:pStyle w:val="ListParagraph"/>
        <w:numPr>
          <w:ilvl w:val="0"/>
          <w:numId w:val="2"/>
        </w:numPr>
        <w:spacing w:before="40" w:after="40"/>
      </w:pPr>
      <w:r>
        <w:rPr>
          <w:rFonts w:ascii="Arial" w:cs="Arial" w:eastAsia="Arial" w:hAnsi="Arial"/>
          <w:sz w:val="20"/>
          <w:szCs w:val="20"/>
        </w:rPr>
        <w:t xml:space="preserve">The receiving country provides an adequate level of data protection as recognized by the relevant supervisory authority; or</w:t>
      </w:r>
    </w:p>
    <w:p>
      <w:pPr>
        <w:pStyle w:val="ListParagraph"/>
        <w:numPr>
          <w:ilvl w:val="0"/>
          <w:numId w:val="2"/>
        </w:numPr>
        <w:spacing w:before="40" w:after="40"/>
      </w:pPr>
      <w:r>
        <w:rPr>
          <w:rFonts w:ascii="Arial" w:cs="Arial" w:eastAsia="Arial" w:hAnsi="Arial"/>
          <w:sz w:val="20"/>
          <w:szCs w:val="20"/>
        </w:rPr>
        <w:t xml:space="preserve">Appropriate safeguards are in place, such as standard contractual clauses, binding corporate rules, or regulatory-approved mechanisms; or</w:t>
      </w:r>
    </w:p>
    <w:p>
      <w:pPr>
        <w:pStyle w:val="ListParagraph"/>
        <w:numPr>
          <w:ilvl w:val="0"/>
          <w:numId w:val="2"/>
        </w:numPr>
        <w:spacing w:before="40" w:after="40"/>
      </w:pPr>
      <w:r>
        <w:rPr>
          <w:rFonts w:ascii="Arial" w:cs="Arial" w:eastAsia="Arial" w:hAnsi="Arial"/>
          <w:sz w:val="20"/>
          <w:szCs w:val="20"/>
        </w:rPr>
        <w:t xml:space="preserve">The transfer is necessary for the performance of a contract with the data subject.</w:t>
      </w:r>
    </w:p>
    <w:p>
      <w:pPr>
        <w:spacing w:before="60" w:after="60"/>
      </w:pPr>
      <w:r>
        <w:rPr>
          <w:rFonts w:ascii="Arial" w:cs="Arial" w:eastAsia="Arial" w:hAnsi="Arial"/>
          <w:i w:val="false"/>
          <w:iCs w:val="false"/>
          <w:sz w:val="20"/>
          <w:szCs w:val="20"/>
        </w:rPr>
        <w:t xml:space="preserve">All cross-border transfer arrangements must be documented and approved by the Legal &amp; Compliance Division prior to transfer.</w:t>
      </w:r>
    </w:p>
    <w:p>
      <w:r>
        <w:t xml:space="preserve"/>
      </w:r>
    </w:p>
    <w:p>
      <w:pPr>
        <w:pStyle w:val="Heading1"/>
        <w:spacing w:before="360" w:after="120"/>
      </w:pPr>
      <w:r>
        <w:rPr>
          <w:rFonts w:ascii="Arial" w:cs="Arial" w:eastAsia="Arial" w:hAnsi="Arial"/>
          <w:b/>
          <w:bCs/>
          <w:color w:val="1F4E79"/>
          <w:sz w:val="32"/>
          <w:szCs w:val="32"/>
        </w:rPr>
        <w:t xml:space="preserve">8. Breach Notification</w:t>
      </w:r>
    </w:p>
    <w:p>
      <w:pPr>
        <w:spacing w:before="60" w:after="60"/>
      </w:pPr>
      <w:r>
        <w:rPr>
          <w:rFonts w:ascii="Arial" w:cs="Arial" w:eastAsia="Arial" w:hAnsi="Arial"/>
          <w:i w:val="false"/>
          <w:iCs w:val="false"/>
          <w:sz w:val="20"/>
          <w:szCs w:val="20"/>
        </w:rPr>
        <w:t xml:space="preserve">In the event of a personal data breach, BBK shall:</w:t>
      </w:r>
    </w:p>
    <w:p>
      <w:pPr>
        <w:pStyle w:val="ListParagraph"/>
        <w:numPr>
          <w:ilvl w:val="0"/>
          <w:numId w:val="2"/>
        </w:numPr>
        <w:spacing w:before="40" w:after="40"/>
      </w:pPr>
      <w:r>
        <w:rPr>
          <w:rFonts w:ascii="Arial" w:cs="Arial" w:eastAsia="Arial" w:hAnsi="Arial"/>
          <w:sz w:val="20"/>
          <w:szCs w:val="20"/>
        </w:rPr>
        <w:t xml:space="preserve">Contain the breach and assess its likely consequences within 24 hours of discovery.</w:t>
      </w:r>
    </w:p>
    <w:p>
      <w:pPr>
        <w:pStyle w:val="ListParagraph"/>
        <w:numPr>
          <w:ilvl w:val="0"/>
          <w:numId w:val="2"/>
        </w:numPr>
        <w:spacing w:before="40" w:after="40"/>
      </w:pPr>
      <w:r>
        <w:rPr>
          <w:rFonts w:ascii="Arial" w:cs="Arial" w:eastAsia="Arial" w:hAnsi="Arial"/>
          <w:sz w:val="20"/>
          <w:szCs w:val="20"/>
        </w:rPr>
        <w:t xml:space="preserve">Notify the relevant supervisory authority within 72 hours where the breach is likely to result in a risk to individuals' rights and freedoms.</w:t>
      </w:r>
    </w:p>
    <w:p>
      <w:pPr>
        <w:pStyle w:val="ListParagraph"/>
        <w:numPr>
          <w:ilvl w:val="0"/>
          <w:numId w:val="2"/>
        </w:numPr>
        <w:spacing w:before="40" w:after="40"/>
      </w:pPr>
      <w:r>
        <w:rPr>
          <w:rFonts w:ascii="Arial" w:cs="Arial" w:eastAsia="Arial" w:hAnsi="Arial"/>
          <w:sz w:val="20"/>
          <w:szCs w:val="20"/>
        </w:rPr>
        <w:t xml:space="preserve">Notify affected data subjects without undue delay where the breach is likely to result in a high risk to their rights and freedoms.</w:t>
      </w:r>
    </w:p>
    <w:p>
      <w:pPr>
        <w:pStyle w:val="ListParagraph"/>
        <w:numPr>
          <w:ilvl w:val="0"/>
          <w:numId w:val="2"/>
        </w:numPr>
        <w:spacing w:before="40" w:after="40"/>
      </w:pPr>
      <w:r>
        <w:rPr>
          <w:rFonts w:ascii="Arial" w:cs="Arial" w:eastAsia="Arial" w:hAnsi="Arial"/>
          <w:sz w:val="20"/>
          <w:szCs w:val="20"/>
        </w:rPr>
        <w:t xml:space="preserve">Document all breaches, including those not required to be notified, in the Data Breach Register.</w:t>
      </w:r>
    </w:p>
    <w:p>
      <w:r>
        <w:t xml:space="preserve"/>
      </w:r>
    </w:p>
    <w:p>
      <w:pPr>
        <w:pStyle w:val="Heading1"/>
        <w:spacing w:before="360" w:after="120"/>
      </w:pPr>
      <w:r>
        <w:rPr>
          <w:rFonts w:ascii="Arial" w:cs="Arial" w:eastAsia="Arial" w:hAnsi="Arial"/>
          <w:b/>
          <w:bCs/>
          <w:color w:val="1F4E79"/>
          <w:sz w:val="32"/>
          <w:szCs w:val="32"/>
        </w:rPr>
        <w:t xml:space="preserve">9. Governance and Accountability</w:t>
      </w:r>
    </w:p>
    <w:p>
      <w:pPr>
        <w:spacing w:before="60" w:after="60"/>
      </w:pPr>
      <w:r>
        <w:rPr>
          <w:rFonts w:ascii="Arial" w:cs="Arial" w:eastAsia="Arial" w:hAnsi="Arial"/>
          <w:i w:val="false"/>
          <w:iCs w:val="false"/>
          <w:sz w:val="20"/>
          <w:szCs w:val="20"/>
        </w:rPr>
        <w:t xml:space="preserve">The Data Protection Officer (DPO) is responsible for overseeing compliance with this Policy and applicable data protection laws. All business units shall appoint a Privacy Liaison responsible for coordinating compliance within their area.</w:t>
      </w:r>
    </w:p>
    <w:p>
      <w:pPr>
        <w:spacing w:before="60" w:after="60"/>
      </w:pPr>
      <w:r>
        <w:rPr>
          <w:rFonts w:ascii="Arial" w:cs="Arial" w:eastAsia="Arial" w:hAnsi="Arial"/>
          <w:i w:val="false"/>
          <w:iCs w:val="false"/>
          <w:sz w:val="20"/>
          <w:szCs w:val="20"/>
        </w:rPr>
        <w:t xml:space="preserve">Annual privacy impact assessments shall be conducted for all high-risk processing activities. This Policy shall be reviewed at least once every two years or upon material changes to applicable law.</w:t>
      </w:r>
    </w:p>
    <w:p>
      <w:r>
        <w:t xml:space="preserve"/>
      </w:r>
    </w:p>
    <w:p>
      <w:pPr>
        <w:pStyle w:val="Heading1"/>
        <w:spacing w:before="360" w:after="120"/>
      </w:pPr>
      <w:r>
        <w:rPr>
          <w:rFonts w:ascii="Arial" w:cs="Arial" w:eastAsia="Arial" w:hAnsi="Arial"/>
          <w:b/>
          <w:bCs/>
          <w:color w:val="1F4E79"/>
          <w:sz w:val="32"/>
          <w:szCs w:val="32"/>
        </w:rPr>
        <w:t xml:space="preserve">10. Sanctions</w:t>
      </w:r>
    </w:p>
    <w:p>
      <w:pPr>
        <w:spacing w:before="60" w:after="60"/>
      </w:pPr>
      <w:r>
        <w:rPr>
          <w:rFonts w:ascii="Arial" w:cs="Arial" w:eastAsia="Arial" w:hAnsi="Arial"/>
          <w:i w:val="false"/>
          <w:iCs w:val="false"/>
          <w:sz w:val="20"/>
          <w:szCs w:val="20"/>
        </w:rPr>
        <w:t xml:space="preserve">Non-compliance with this Policy may result in disciplinary action, up to and including termination of employment. BBK may also face regulatory sanctions, fines, and reputational damage as a result of non-compliance. All employees are required to complete mandatory data protection training annually.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2026-03-26T06:33:16.220Z</dcterms:created>
  <dcterms:modified xsi:type="dcterms:W3CDTF">2026-03-26T06:33:16.220Z</dcterms:modified>
</cp:coreProperties>
</file>

<file path=docProps/custom.xml><?xml version="1.0" encoding="utf-8"?>
<Properties xmlns="http://schemas.openxmlformats.org/officeDocument/2006/custom-properties" xmlns:vt="http://schemas.openxmlformats.org/officeDocument/2006/docPropsVTypes"/>
</file>