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1F4E79"/>
          <w:sz w:val="56"/>
          <w:szCs w:val="56"/>
        </w:rPr>
        <w:t xml:space="preserve">BBK BANK</w:t>
      </w:r>
    </w:p>
    <w:p>
      <w:pPr>
        <w:spacing w:before="60" w:after="60"/>
        <w:jc w:val="center"/>
      </w:pPr>
      <w:r>
        <w:rPr>
          <w:rFonts w:ascii="Arial" w:cs="Arial" w:eastAsia="Arial" w:hAnsi="Arial"/>
          <w:color w:val="555555"/>
          <w:sz w:val="24"/>
          <w:szCs w:val="24"/>
        </w:rPr>
        <w:t xml:space="preserve">Bank of Bahrain and Kuwait</w:t>
      </w:r>
    </w:p>
    <w:p>
      <w:pPr>
        <w:spacing w:before="0" w:after="400"/>
        <w:jc w:val="center"/>
      </w:pPr>
      <w:r>
        <w:rPr>
          <w:rFonts w:ascii="Arial" w:cs="Arial" w:eastAsia="Arial" w:hAnsi="Arial"/>
          <w:b/>
          <w:bCs/>
          <w:color w:val="006400"/>
          <w:sz w:val="22"/>
          <w:szCs w:val="22"/>
        </w:rPr>
        <w:t xml:space="preserve">Bahrain Branch — Branch Operations</w:t>
      </w:r>
    </w:p>
    <w:p>
      <w:pPr>
        <w:pBdr>
          <w:bottom w:val="single" w:color="2E75B6" w:sz="6" w:space="1"/>
        </w:pBdr>
        <w:spacing w:before="120" w:after="120"/>
      </w:pPr>
      <w:r>
        <w:t xml:space="preserve"/>
      </w:r>
    </w:p>
    <w:p>
      <w:pPr>
        <w:spacing w:before="360" w:after="80"/>
        <w:jc w:val="center"/>
      </w:pPr>
      <w:r>
        <w:rPr>
          <w:rFonts w:ascii="Arial" w:cs="Arial" w:eastAsia="Arial" w:hAnsi="Arial"/>
          <w:b/>
          <w:bCs/>
          <w:color w:val="1A1A1A"/>
          <w:sz w:val="40"/>
          <w:szCs w:val="40"/>
        </w:rPr>
        <w:t xml:space="preserve">Data Handling &amp; Classification</w:t>
      </w:r>
    </w:p>
    <w:p>
      <w:pPr>
        <w:spacing w:before="0" w:after="80"/>
        <w:jc w:val="center"/>
      </w:pPr>
      <w:r>
        <w:rPr>
          <w:rFonts w:ascii="Arial" w:cs="Arial" w:eastAsia="Arial" w:hAnsi="Arial"/>
          <w:b/>
          <w:bCs/>
          <w:color w:val="1A1A1A"/>
          <w:sz w:val="36"/>
          <w:szCs w:val="36"/>
        </w:rPr>
        <w:t xml:space="preserve">Standard Operating Procedure</w:t>
      </w:r>
    </w:p>
    <w:p>
      <w:pPr>
        <w:spacing w:before="0" w:after="600"/>
        <w:jc w:val="center"/>
      </w:pPr>
      <w:r>
        <w:rPr>
          <w:rFonts w:ascii="Arial" w:cs="Arial" w:eastAsia="Arial" w:hAnsi="Arial"/>
          <w:i/>
          <w:iCs/>
          <w:color w:val="888888"/>
          <w:sz w:val="22"/>
          <w:szCs w:val="22"/>
        </w:rPr>
        <w:t xml:space="preserve">Branch-Specific Local Supplement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Document 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BBK-OPS-012-BH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Parent Policy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BBK-OPS-012 v1.3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Branch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Bahrain Branch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Jurisdiction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Kingdom of Bahrain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Version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Effective Date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 January 2025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Regulatory Ref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PDPL 2018 / CBB Rulebook Module PB</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Classification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CONFIDENTIAL — INTERNAL USE ONLY</w:t>
            </w:r>
          </w:p>
        </w:tc>
      </w:tr>
    </w:tbl>
    <w:p>
      <w:pPr>
        <w:pageBreakBefore/>
      </w:pPr>
      <w:r>
        <w:t xml:space="preserve"/>
      </w:r>
    </w:p>
    <w:p>
      <w:pPr>
        <w:pStyle w:val="Heading1"/>
        <w:spacing w:before="360" w:after="120"/>
      </w:pPr>
      <w:r>
        <w:rPr>
          <w:rFonts w:ascii="Arial" w:cs="Arial" w:eastAsia="Arial" w:hAnsi="Arial"/>
          <w:b/>
          <w:bCs/>
          <w:color w:val="1F4E79"/>
          <w:sz w:val="32"/>
          <w:szCs w:val="32"/>
        </w:rPr>
        <w:t xml:space="preserve">1. Purpose and Relationship to Group Policy</w:t>
      </w:r>
    </w:p>
    <w:p>
      <w:pPr>
        <w:spacing w:before="60" w:after="60"/>
      </w:pPr>
      <w:r>
        <w:rPr>
          <w:rFonts w:ascii="Arial" w:cs="Arial" w:eastAsia="Arial" w:hAnsi="Arial"/>
          <w:i w:val="false"/>
          <w:iCs w:val="false"/>
          <w:sz w:val="20"/>
          <w:szCs w:val="20"/>
        </w:rPr>
        <w:t xml:space="preserve">This document is a jurisdiction-specific supplement to the BBK Group Data Handling &amp; Classification SOP (BBK-OPS-012). It adapts Group requirements to the legal and regulatory framework applicable to BBK's operations in the Kingdom of Bahrain and must be read in conjunction with the Group policy.</w:t>
      </w:r>
    </w:p>
    <w:p>
      <w:pPr>
        <w:spacing w:before="60" w:after="60"/>
      </w:pPr>
      <w:r>
        <w:rPr>
          <w:rFonts w:ascii="Arial" w:cs="Arial" w:eastAsia="Arial" w:hAnsi="Arial"/>
          <w:i w:val="false"/>
          <w:iCs w:val="false"/>
          <w:sz w:val="20"/>
          <w:szCs w:val="20"/>
        </w:rPr>
        <w:t xml:space="preserve">In the event of any conflict between this supplement and the Group policy, the more stringent requirement shall apply unless explicitly directed otherwise by the Legal &amp; Compliance Division.</w:t>
      </w:r>
    </w:p>
    <w:p>
      <w:r>
        <w:t xml:space="preserve"/>
      </w:r>
    </w:p>
    <w:p>
      <w:pPr>
        <w:pStyle w:val="Heading1"/>
        <w:spacing w:before="360" w:after="120"/>
      </w:pPr>
      <w:r>
        <w:rPr>
          <w:rFonts w:ascii="Arial" w:cs="Arial" w:eastAsia="Arial" w:hAnsi="Arial"/>
          <w:b/>
          <w:bCs/>
          <w:color w:val="1F4E79"/>
          <w:sz w:val="32"/>
          <w:szCs w:val="32"/>
        </w:rPr>
        <w:t xml:space="preserve">2. Applicable Regulatory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Regulation / Authority</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Relevance to This SOP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Personal Data Protection Law (PDPL) 2018 — Decree-Law No. 30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Primary data protection law governing collection, processing, and transfer of personal data in Bahrain.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Central Bank of Bahrain (CBB) Rulebook — Module PB (Private Banking) &amp; Module FC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Customer data handling obligations, KYC/AML data requirements, outsourcing data controls.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Law No. 4 of 2001 (Anti-Money Laundering)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Mandates retention and protection of transaction and identification records.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Personal Data Protection Authority (PDPA)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Supervisory authority; breach notifications and regulatory inquiries directed here.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eGovernment Authority Guidance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Guidance on cross-border data transfers and government data sharing.</w:t>
            </w:r>
          </w:p>
        </w:tc>
      </w:tr>
    </w:tbl>
    <w:p>
      <w:r>
        <w:t xml:space="preserve"/>
      </w:r>
    </w:p>
    <w:p>
      <w:pPr>
        <w:pStyle w:val="Heading1"/>
        <w:spacing w:before="360" w:after="120"/>
      </w:pPr>
      <w:r>
        <w:rPr>
          <w:rFonts w:ascii="Arial" w:cs="Arial" w:eastAsia="Arial" w:hAnsi="Arial"/>
          <w:b/>
          <w:bCs/>
          <w:color w:val="1F4E79"/>
          <w:sz w:val="32"/>
          <w:szCs w:val="32"/>
        </w:rPr>
        <w:t xml:space="preserve">3. Data Classification — Bahrain Branch Specifics</w:t>
      </w:r>
    </w:p>
    <w:p>
      <w:pPr>
        <w:spacing w:before="60" w:after="60"/>
      </w:pPr>
      <w:r>
        <w:rPr>
          <w:rFonts w:ascii="Arial" w:cs="Arial" w:eastAsia="Arial" w:hAnsi="Arial"/>
          <w:i w:val="false"/>
          <w:iCs w:val="false"/>
          <w:sz w:val="20"/>
          <w:szCs w:val="20"/>
        </w:rPr>
        <w:t xml:space="preserve">The Group four-tier classification (L1–L4) applies in full. The following additional guidance reflects Bahraini regulatory context:</w:t>
      </w:r>
    </w:p>
    <w:p>
      <w:pPr>
        <w:pStyle w:val="Heading2"/>
        <w:spacing w:before="240" w:after="80"/>
      </w:pPr>
      <w:r>
        <w:rPr>
          <w:rFonts w:ascii="Arial" w:cs="Arial" w:eastAsia="Arial" w:hAnsi="Arial"/>
          <w:b/>
          <w:bCs/>
          <w:color w:val="2E75B6"/>
          <w:sz w:val="26"/>
          <w:szCs w:val="26"/>
        </w:rPr>
        <w:t xml:space="preserve">3.1 Sensitive Personal Data — Expanded Definition under PDPL</w:t>
      </w:r>
    </w:p>
    <w:p>
      <w:pPr>
        <w:spacing w:before="60" w:after="60"/>
      </w:pPr>
      <w:r>
        <w:rPr>
          <w:rFonts w:ascii="Arial" w:cs="Arial" w:eastAsia="Arial" w:hAnsi="Arial"/>
          <w:i w:val="false"/>
          <w:iCs w:val="false"/>
          <w:sz w:val="20"/>
          <w:szCs w:val="20"/>
        </w:rPr>
        <w:t xml:space="preserve">Under Bahrain's PDPL, the following categories are explicitly designated as sensitive and must be treated as Strictly Confidential (L1) regardless of context:</w:t>
      </w:r>
    </w:p>
    <w:p>
      <w:pPr>
        <w:pStyle w:val="ListParagraph"/>
        <w:numPr>
          <w:ilvl w:val="0"/>
          <w:numId w:val="2"/>
        </w:numPr>
        <w:spacing w:before="40" w:after="40"/>
      </w:pPr>
      <w:r>
        <w:rPr>
          <w:rFonts w:ascii="Arial" w:cs="Arial" w:eastAsia="Arial" w:hAnsi="Arial"/>
          <w:sz w:val="20"/>
          <w:szCs w:val="20"/>
        </w:rPr>
        <w:t xml:space="preserve">Racial or ethnic origin</w:t>
      </w:r>
    </w:p>
    <w:p>
      <w:pPr>
        <w:pStyle w:val="ListParagraph"/>
        <w:numPr>
          <w:ilvl w:val="0"/>
          <w:numId w:val="2"/>
        </w:numPr>
        <w:spacing w:before="40" w:after="40"/>
      </w:pPr>
      <w:r>
        <w:rPr>
          <w:rFonts w:ascii="Arial" w:cs="Arial" w:eastAsia="Arial" w:hAnsi="Arial"/>
          <w:sz w:val="20"/>
          <w:szCs w:val="20"/>
        </w:rPr>
        <w:t xml:space="preserve">Political, philosophical, or religious opinions</w:t>
      </w:r>
    </w:p>
    <w:p>
      <w:pPr>
        <w:pStyle w:val="ListParagraph"/>
        <w:numPr>
          <w:ilvl w:val="0"/>
          <w:numId w:val="2"/>
        </w:numPr>
        <w:spacing w:before="40" w:after="40"/>
      </w:pPr>
      <w:r>
        <w:rPr>
          <w:rFonts w:ascii="Arial" w:cs="Arial" w:eastAsia="Arial" w:hAnsi="Arial"/>
          <w:sz w:val="20"/>
          <w:szCs w:val="20"/>
        </w:rPr>
        <w:t xml:space="preserve">Trade union membership</w:t>
      </w:r>
    </w:p>
    <w:p>
      <w:pPr>
        <w:pStyle w:val="ListParagraph"/>
        <w:numPr>
          <w:ilvl w:val="0"/>
          <w:numId w:val="2"/>
        </w:numPr>
        <w:spacing w:before="40" w:after="40"/>
      </w:pPr>
      <w:r>
        <w:rPr>
          <w:rFonts w:ascii="Arial" w:cs="Arial" w:eastAsia="Arial" w:hAnsi="Arial"/>
          <w:sz w:val="20"/>
          <w:szCs w:val="20"/>
        </w:rPr>
        <w:t xml:space="preserve">Health and medical data (including biometric data used for identification)</w:t>
      </w:r>
    </w:p>
    <w:p>
      <w:pPr>
        <w:pStyle w:val="ListParagraph"/>
        <w:numPr>
          <w:ilvl w:val="0"/>
          <w:numId w:val="2"/>
        </w:numPr>
        <w:spacing w:before="40" w:after="40"/>
      </w:pPr>
      <w:r>
        <w:rPr>
          <w:rFonts w:ascii="Arial" w:cs="Arial" w:eastAsia="Arial" w:hAnsi="Arial"/>
          <w:sz w:val="20"/>
          <w:szCs w:val="20"/>
        </w:rPr>
        <w:t xml:space="preserve">Criminal record data</w:t>
      </w:r>
    </w:p>
    <w:p>
      <w:pPr>
        <w:pStyle w:val="ListParagraph"/>
        <w:numPr>
          <w:ilvl w:val="0"/>
          <w:numId w:val="2"/>
        </w:numPr>
        <w:spacing w:before="40" w:after="40"/>
      </w:pPr>
      <w:r>
        <w:rPr>
          <w:rFonts w:ascii="Arial" w:cs="Arial" w:eastAsia="Arial" w:hAnsi="Arial"/>
          <w:sz w:val="20"/>
          <w:szCs w:val="20"/>
        </w:rPr>
        <w:t xml:space="preserve">Financial position data when combined with identity information</w:t>
      </w:r>
    </w:p>
    <w:p>
      <w:pPr>
        <w:spacing w:before="60" w:after="60"/>
        <w:ind w:left="400"/>
      </w:pPr>
      <w:r>
        <w:rPr>
          <w:rFonts w:ascii="Arial" w:cs="Arial" w:eastAsia="Arial" w:hAnsi="Arial"/>
          <w:i/>
          <w:iCs/>
          <w:color w:val="555555"/>
          <w:sz w:val="18"/>
          <w:szCs w:val="18"/>
        </w:rPr>
        <w:t xml:space="preserve">ℹ  Bahrain's PDPL definition of sensitive data is broader than some other Gulf frameworks. Staff must not downgrade the classification of any data falling into these categories.</w:t>
      </w:r>
    </w:p>
    <w:p>
      <w:pPr>
        <w:pStyle w:val="Heading2"/>
        <w:spacing w:before="240" w:after="80"/>
      </w:pPr>
      <w:r>
        <w:rPr>
          <w:rFonts w:ascii="Arial" w:cs="Arial" w:eastAsia="Arial" w:hAnsi="Arial"/>
          <w:b/>
          <w:bCs/>
          <w:color w:val="2E75B6"/>
          <w:sz w:val="26"/>
          <w:szCs w:val="26"/>
        </w:rPr>
        <w:t xml:space="preserve">3.2 Customer Financial Data</w:t>
      </w:r>
    </w:p>
    <w:p>
      <w:pPr>
        <w:spacing w:before="60" w:after="60"/>
      </w:pPr>
      <w:r>
        <w:rPr>
          <w:rFonts w:ascii="Arial" w:cs="Arial" w:eastAsia="Arial" w:hAnsi="Arial"/>
          <w:i w:val="false"/>
          <w:iCs w:val="false"/>
          <w:sz w:val="20"/>
          <w:szCs w:val="20"/>
        </w:rPr>
        <w:t xml:space="preserve">All customer account, transaction, and credit data is classified as Confidential (L2) at minimum, and is subject to the CBB's customer confidentiality obligations under Module PB. Disclosure to any third party — including intra-group entities — requires documented basis and customer notification where required by the CBB Rulebook.</w:t>
      </w:r>
    </w:p>
    <w:p>
      <w:r>
        <w:t xml:space="preserve"/>
      </w:r>
    </w:p>
    <w:p>
      <w:pPr>
        <w:pStyle w:val="Heading1"/>
        <w:spacing w:before="360" w:after="120"/>
      </w:pPr>
      <w:r>
        <w:rPr>
          <w:rFonts w:ascii="Arial" w:cs="Arial" w:eastAsia="Arial" w:hAnsi="Arial"/>
          <w:b/>
          <w:bCs/>
          <w:color w:val="1F4E79"/>
          <w:sz w:val="32"/>
          <w:szCs w:val="32"/>
        </w:rPr>
        <w:t xml:space="preserve">4. Data Retention — Bahrain Regulatory Schedule</w:t>
      </w:r>
    </w:p>
    <w:p>
      <w:pPr>
        <w:spacing w:before="60" w:after="60"/>
      </w:pPr>
      <w:r>
        <w:rPr>
          <w:rFonts w:ascii="Arial" w:cs="Arial" w:eastAsia="Arial" w:hAnsi="Arial"/>
          <w:i w:val="false"/>
          <w:iCs w:val="false"/>
          <w:sz w:val="20"/>
          <w:szCs w:val="20"/>
        </w:rPr>
        <w:t xml:space="preserve">The following retention periods apply to the Bahrain Branch and supersede Group defaults where local law is more stringent: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1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Data Category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Group Default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Bahrain Requirement</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Legal Basis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KYC / Customer ID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 post-relationship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AML Law No. 4/2001; CBB Module FC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Transaction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AML Law No. 4/2001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Loan &amp; Credit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 post-settlement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CBB Rulebook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Complaint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 years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CBB Consumer Protection Module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Employee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 years post-employment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Bahrain Labour Law No. 36/2012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Suspicious Activity Reports (SARs)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 (minimum)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AML Law / FIU Bahrain Guidance</w:t>
            </w:r>
          </w:p>
        </w:tc>
      </w:tr>
    </w:tbl>
    <w:p>
      <w:r>
        <w:t xml:space="preserve"/>
      </w:r>
    </w:p>
    <w:p>
      <w:pPr>
        <w:pStyle w:val="Heading1"/>
        <w:spacing w:before="360" w:after="120"/>
      </w:pPr>
      <w:r>
        <w:rPr>
          <w:rFonts w:ascii="Arial" w:cs="Arial" w:eastAsia="Arial" w:hAnsi="Arial"/>
          <w:b/>
          <w:bCs/>
          <w:color w:val="1F4E79"/>
          <w:sz w:val="32"/>
          <w:szCs w:val="32"/>
        </w:rPr>
        <w:t xml:space="preserve">5. Cross-Border Data Transfers — Bahrain</w:t>
      </w:r>
    </w:p>
    <w:p>
      <w:pPr>
        <w:spacing w:before="60" w:after="60"/>
      </w:pPr>
      <w:r>
        <w:rPr>
          <w:rFonts w:ascii="Arial" w:cs="Arial" w:eastAsia="Arial" w:hAnsi="Arial"/>
          <w:i w:val="false"/>
          <w:iCs w:val="false"/>
          <w:sz w:val="20"/>
          <w:szCs w:val="20"/>
        </w:rPr>
        <w:t xml:space="preserve">Under the PDPL 2018, transfer of personal data outside Bahrain is restricted. The Bahrain Branch may only transfer personal data internationally where:</w:t>
      </w:r>
    </w:p>
    <w:p>
      <w:pPr>
        <w:pStyle w:val="ListParagraph"/>
        <w:numPr>
          <w:ilvl w:val="0"/>
          <w:numId w:val="2"/>
        </w:numPr>
        <w:spacing w:before="40" w:after="40"/>
      </w:pPr>
      <w:r>
        <w:rPr>
          <w:rFonts w:ascii="Arial" w:cs="Arial" w:eastAsia="Arial" w:hAnsi="Arial"/>
          <w:sz w:val="20"/>
          <w:szCs w:val="20"/>
        </w:rPr>
        <w:t xml:space="preserve">The destination country has been recognized by the PDPA as providing adequate protection; or</w:t>
      </w:r>
    </w:p>
    <w:p>
      <w:pPr>
        <w:pStyle w:val="ListParagraph"/>
        <w:numPr>
          <w:ilvl w:val="0"/>
          <w:numId w:val="2"/>
        </w:numPr>
        <w:spacing w:before="40" w:after="40"/>
      </w:pPr>
      <w:r>
        <w:rPr>
          <w:rFonts w:ascii="Arial" w:cs="Arial" w:eastAsia="Arial" w:hAnsi="Arial"/>
          <w:sz w:val="20"/>
          <w:szCs w:val="20"/>
        </w:rPr>
        <w:t xml:space="preserve">The data subject has given explicit, informed consent to the transfer; or</w:t>
      </w:r>
    </w:p>
    <w:p>
      <w:pPr>
        <w:pStyle w:val="ListParagraph"/>
        <w:numPr>
          <w:ilvl w:val="0"/>
          <w:numId w:val="2"/>
        </w:numPr>
        <w:spacing w:before="40" w:after="40"/>
      </w:pPr>
      <w:r>
        <w:rPr>
          <w:rFonts w:ascii="Arial" w:cs="Arial" w:eastAsia="Arial" w:hAnsi="Arial"/>
          <w:sz w:val="20"/>
          <w:szCs w:val="20"/>
        </w:rPr>
        <w:t xml:space="preserve">The transfer is necessary for the performance of a contract with the data subject; or</w:t>
      </w:r>
    </w:p>
    <w:p>
      <w:pPr>
        <w:pStyle w:val="ListParagraph"/>
        <w:numPr>
          <w:ilvl w:val="0"/>
          <w:numId w:val="2"/>
        </w:numPr>
        <w:spacing w:before="40" w:after="40"/>
      </w:pPr>
      <w:r>
        <w:rPr>
          <w:rFonts w:ascii="Arial" w:cs="Arial" w:eastAsia="Arial" w:hAnsi="Arial"/>
          <w:sz w:val="20"/>
          <w:szCs w:val="20"/>
        </w:rPr>
        <w:t xml:space="preserve">Standard contractual clauses approved by the PDPA are in place with the recipient.</w:t>
      </w:r>
    </w:p>
    <w:p>
      <w:pPr>
        <w:spacing w:before="60" w:after="60"/>
      </w:pPr>
      <w:r>
        <w:rPr>
          <w:rFonts w:ascii="Arial" w:cs="Arial" w:eastAsia="Arial" w:hAnsi="Arial"/>
          <w:i w:val="false"/>
          <w:iCs w:val="false"/>
          <w:sz w:val="20"/>
          <w:szCs w:val="20"/>
        </w:rPr>
        <w:t xml:space="preserve">All cross-border transfers must be logged in the Cross-Border Transfer Register maintained by the Bahrain Branch Compliance Officer and reviewed quarterly.</w:t>
      </w:r>
    </w:p>
    <w:p>
      <w:pPr>
        <w:spacing w:before="60" w:after="60"/>
        <w:ind w:left="400"/>
      </w:pPr>
      <w:r>
        <w:rPr>
          <w:rFonts w:ascii="Arial" w:cs="Arial" w:eastAsia="Arial" w:hAnsi="Arial"/>
          <w:i/>
          <w:iCs/>
          <w:color w:val="555555"/>
          <w:sz w:val="18"/>
          <w:szCs w:val="18"/>
        </w:rPr>
        <w:t xml:space="preserve">ℹ  Intra-group transfers to BBK Kuwait Head Office are subject to the same transfer restrictions and require a valid legal mechanism to be documented.</w:t>
      </w:r>
    </w:p>
    <w:p>
      <w:r>
        <w:t xml:space="preserve"/>
      </w:r>
    </w:p>
    <w:p>
      <w:pPr>
        <w:pStyle w:val="Heading1"/>
        <w:spacing w:before="360" w:after="120"/>
      </w:pPr>
      <w:r>
        <w:rPr>
          <w:rFonts w:ascii="Arial" w:cs="Arial" w:eastAsia="Arial" w:hAnsi="Arial"/>
          <w:b/>
          <w:bCs/>
          <w:color w:val="1F4E79"/>
          <w:sz w:val="32"/>
          <w:szCs w:val="32"/>
        </w:rPr>
        <w:t xml:space="preserve">6. Data Subject Rights — Local Handling Procedure</w:t>
      </w:r>
    </w:p>
    <w:p>
      <w:pPr>
        <w:spacing w:before="60" w:after="60"/>
      </w:pPr>
      <w:r>
        <w:rPr>
          <w:rFonts w:ascii="Arial" w:cs="Arial" w:eastAsia="Arial" w:hAnsi="Arial"/>
          <w:i w:val="false"/>
          <w:iCs w:val="false"/>
          <w:sz w:val="20"/>
          <w:szCs w:val="20"/>
        </w:rPr>
        <w:t xml:space="preserve">Data subject rights under the PDPL must be handled as follows at the Bahrain Branch:</w:t>
      </w:r>
    </w:p>
    <w:p>
      <w:pPr>
        <w:pStyle w:val="ListParagraph"/>
        <w:numPr>
          <w:ilvl w:val="0"/>
          <w:numId w:val="2"/>
        </w:numPr>
        <w:spacing w:before="40" w:after="40"/>
      </w:pPr>
      <w:r>
        <w:rPr>
          <w:rFonts w:ascii="Arial" w:cs="Arial" w:eastAsia="Arial" w:hAnsi="Arial"/>
          <w:sz w:val="20"/>
          <w:szCs w:val="20"/>
        </w:rPr>
        <w:t xml:space="preserve">Requests must be received and logged within 2 business days of receipt.</w:t>
      </w:r>
    </w:p>
    <w:p>
      <w:pPr>
        <w:pStyle w:val="ListParagraph"/>
        <w:numPr>
          <w:ilvl w:val="0"/>
          <w:numId w:val="2"/>
        </w:numPr>
        <w:spacing w:before="40" w:after="40"/>
      </w:pPr>
      <w:r>
        <w:rPr>
          <w:rFonts w:ascii="Arial" w:cs="Arial" w:eastAsia="Arial" w:hAnsi="Arial"/>
          <w:sz w:val="20"/>
          <w:szCs w:val="20"/>
        </w:rPr>
        <w:t xml:space="preserve">Initial acknowledgment sent to the data subject within 5 business days.</w:t>
      </w:r>
    </w:p>
    <w:p>
      <w:pPr>
        <w:pStyle w:val="ListParagraph"/>
        <w:numPr>
          <w:ilvl w:val="0"/>
          <w:numId w:val="2"/>
        </w:numPr>
        <w:spacing w:before="40" w:after="40"/>
      </w:pPr>
      <w:r>
        <w:rPr>
          <w:rFonts w:ascii="Arial" w:cs="Arial" w:eastAsia="Arial" w:hAnsi="Arial"/>
          <w:sz w:val="20"/>
          <w:szCs w:val="20"/>
        </w:rPr>
        <w:t xml:space="preserve">Full response or substantive update provided within 30 calendar days.</w:t>
      </w:r>
    </w:p>
    <w:p>
      <w:pPr>
        <w:pStyle w:val="ListParagraph"/>
        <w:numPr>
          <w:ilvl w:val="0"/>
          <w:numId w:val="2"/>
        </w:numPr>
        <w:spacing w:before="40" w:after="40"/>
      </w:pPr>
      <w:r>
        <w:rPr>
          <w:rFonts w:ascii="Arial" w:cs="Arial" w:eastAsia="Arial" w:hAnsi="Arial"/>
          <w:sz w:val="20"/>
          <w:szCs w:val="20"/>
        </w:rPr>
        <w:t xml:space="preserve">Requests unable to be fulfilled within 30 days may be extended by a further 30 days with written notice and reason provided to the data subject.</w:t>
      </w:r>
    </w:p>
    <w:p>
      <w:pPr>
        <w:pStyle w:val="ListParagraph"/>
        <w:numPr>
          <w:ilvl w:val="0"/>
          <w:numId w:val="2"/>
        </w:numPr>
        <w:spacing w:before="40" w:after="40"/>
      </w:pPr>
      <w:r>
        <w:rPr>
          <w:rFonts w:ascii="Arial" w:cs="Arial" w:eastAsia="Arial" w:hAnsi="Arial"/>
          <w:sz w:val="20"/>
          <w:szCs w:val="20"/>
        </w:rPr>
        <w:t xml:space="preserve">All requests and responses documented in the Data Subject Rights Request Log (Form BBK-BH-DSR-001).</w:t>
      </w:r>
    </w:p>
    <w:p>
      <w:pPr>
        <w:pStyle w:val="ListParagraph"/>
        <w:numPr>
          <w:ilvl w:val="0"/>
          <w:numId w:val="2"/>
        </w:numPr>
        <w:spacing w:before="40" w:after="40"/>
      </w:pPr>
      <w:r>
        <w:rPr>
          <w:rFonts w:ascii="Arial" w:cs="Arial" w:eastAsia="Arial" w:hAnsi="Arial"/>
          <w:sz w:val="20"/>
          <w:szCs w:val="20"/>
        </w:rPr>
        <w:t xml:space="preserve">Refusals must be reviewed and approved by the Branch Compliance Officer and DPO before communication to the data subject.</w:t>
      </w:r>
    </w:p>
    <w:p>
      <w:r>
        <w:t xml:space="preserve"/>
      </w:r>
    </w:p>
    <w:p>
      <w:pPr>
        <w:pStyle w:val="Heading1"/>
        <w:spacing w:before="360" w:after="120"/>
      </w:pPr>
      <w:r>
        <w:rPr>
          <w:rFonts w:ascii="Arial" w:cs="Arial" w:eastAsia="Arial" w:hAnsi="Arial"/>
          <w:b/>
          <w:bCs/>
          <w:color w:val="1F4E79"/>
          <w:sz w:val="32"/>
          <w:szCs w:val="32"/>
        </w:rPr>
        <w:t xml:space="preserve">7. Breach Notification — Bahrain PDPA Requirements</w:t>
      </w:r>
    </w:p>
    <w:p>
      <w:pPr>
        <w:spacing w:before="60" w:after="60"/>
      </w:pPr>
      <w:r>
        <w:rPr>
          <w:rFonts w:ascii="Arial" w:cs="Arial" w:eastAsia="Arial" w:hAnsi="Arial"/>
          <w:i w:val="false"/>
          <w:iCs w:val="false"/>
          <w:sz w:val="20"/>
          <w:szCs w:val="20"/>
        </w:rPr>
        <w:t xml:space="preserve">In addition to Group breach notification obligations (BBK-LGL-001 Section 8), the following Bahrain-specific requirements apply:</w:t>
      </w:r>
    </w:p>
    <w:p>
      <w:pPr>
        <w:pStyle w:val="ListParagraph"/>
        <w:numPr>
          <w:ilvl w:val="0"/>
          <w:numId w:val="2"/>
        </w:numPr>
        <w:spacing w:before="40" w:after="40"/>
      </w:pPr>
      <w:r>
        <w:rPr>
          <w:rFonts w:ascii="Arial" w:cs="Arial" w:eastAsia="Arial" w:hAnsi="Arial"/>
          <w:sz w:val="20"/>
          <w:szCs w:val="20"/>
        </w:rPr>
        <w:t xml:space="preserve">The Bahrain Personal Data Protection Authority (PDPA) must be notified of any breach likely to affect the rights of data subjects within 72 hours of discovery.</w:t>
      </w:r>
    </w:p>
    <w:p>
      <w:pPr>
        <w:pStyle w:val="ListParagraph"/>
        <w:numPr>
          <w:ilvl w:val="0"/>
          <w:numId w:val="2"/>
        </w:numPr>
        <w:spacing w:before="40" w:after="40"/>
      </w:pPr>
      <w:r>
        <w:rPr>
          <w:rFonts w:ascii="Arial" w:cs="Arial" w:eastAsia="Arial" w:hAnsi="Arial"/>
          <w:sz w:val="20"/>
          <w:szCs w:val="20"/>
        </w:rPr>
        <w:t xml:space="preserve">Affected data subjects must be notified without undue delay where the breach is likely to result in high risk to their rights and interests.</w:t>
      </w:r>
    </w:p>
    <w:p>
      <w:pPr>
        <w:pStyle w:val="ListParagraph"/>
        <w:numPr>
          <w:ilvl w:val="0"/>
          <w:numId w:val="2"/>
        </w:numPr>
        <w:spacing w:before="40" w:after="40"/>
      </w:pPr>
      <w:r>
        <w:rPr>
          <w:rFonts w:ascii="Arial" w:cs="Arial" w:eastAsia="Arial" w:hAnsi="Arial"/>
          <w:sz w:val="20"/>
          <w:szCs w:val="20"/>
        </w:rPr>
        <w:t xml:space="preserve">Notification to the PDPA must include: nature of the breach, categories and approximate number of data subjects affected, categories and approximate number of records affected, name and contact details of the DPO, description of likely consequences, and measures taken or proposed.</w:t>
      </w:r>
    </w:p>
    <w:p>
      <w:pPr>
        <w:pStyle w:val="ListParagraph"/>
        <w:numPr>
          <w:ilvl w:val="0"/>
          <w:numId w:val="2"/>
        </w:numPr>
        <w:spacing w:before="40" w:after="40"/>
      </w:pPr>
      <w:r>
        <w:rPr>
          <w:rFonts w:ascii="Arial" w:cs="Arial" w:eastAsia="Arial" w:hAnsi="Arial"/>
          <w:sz w:val="20"/>
          <w:szCs w:val="20"/>
        </w:rPr>
        <w:t xml:space="preserve">The Bahrain Branch Compliance Officer is responsible for coordinating PDPA notification in consultation with the Group DPO.</w:t>
      </w:r>
    </w:p>
    <w:p>
      <w:r>
        <w:t xml:space="preserve"/>
      </w:r>
    </w:p>
    <w:p>
      <w:pPr>
        <w:pStyle w:val="Heading1"/>
        <w:spacing w:before="360" w:after="120"/>
      </w:pPr>
      <w:r>
        <w:rPr>
          <w:rFonts w:ascii="Arial" w:cs="Arial" w:eastAsia="Arial" w:hAnsi="Arial"/>
          <w:b/>
          <w:bCs/>
          <w:color w:val="1F4E79"/>
          <w:sz w:val="32"/>
          <w:szCs w:val="32"/>
        </w:rPr>
        <w:t xml:space="preserve">8. Local Roles and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Role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Branch Compliance Officer — Bahrain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Primary point of contact for PDPA regulatory matters; approves cross-border transfers; manages breach notifications.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Branch Privacy Liaison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Handles data subject rights requests; maintains branch-level data registers.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CBB Relationship Officer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Manages regulatory submissions and CBB inquiries relating to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Group DPO (escalation)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Escalation point for complex cases; approves cross-border transfer mechanisms.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2026-03-26T06:52:24.589Z</dcterms:created>
  <dcterms:modified xsi:type="dcterms:W3CDTF">2026-03-26T06:52:24.590Z</dcterms:modified>
</cp:coreProperties>
</file>

<file path=docProps/custom.xml><?xml version="1.0" encoding="utf-8"?>
<Properties xmlns="http://schemas.openxmlformats.org/officeDocument/2006/custom-properties" xmlns:vt="http://schemas.openxmlformats.org/officeDocument/2006/docPropsVTypes"/>
</file>