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1F4E79"/>
          <w:sz w:val="56"/>
          <w:szCs w:val="56"/>
        </w:rPr>
        <w:t xml:space="preserve">BBK BANK</w:t>
      </w:r>
    </w:p>
    <w:p>
      <w:pPr>
        <w:spacing w:before="60" w:after="60"/>
        <w:jc w:val="center"/>
      </w:pPr>
      <w:r>
        <w:rPr>
          <w:rFonts w:ascii="Arial" w:cs="Arial" w:eastAsia="Arial" w:hAnsi="Arial"/>
          <w:color w:val="555555"/>
          <w:sz w:val="24"/>
          <w:szCs w:val="24"/>
        </w:rPr>
        <w:t xml:space="preserve">Bank of Bahrain and Kuwait</w:t>
      </w:r>
    </w:p>
    <w:p>
      <w:pPr>
        <w:spacing w:before="0" w:after="400"/>
        <w:jc w:val="center"/>
      </w:pPr>
      <w:r>
        <w:rPr>
          <w:rFonts w:ascii="Arial" w:cs="Arial" w:eastAsia="Arial" w:hAnsi="Arial"/>
          <w:b/>
          <w:bCs/>
          <w:color w:val="8B0000"/>
          <w:sz w:val="22"/>
          <w:szCs w:val="22"/>
        </w:rPr>
        <w:t xml:space="preserve">Kuwait Branch — Branch Operations</w:t>
      </w:r>
    </w:p>
    <w:p>
      <w:pPr>
        <w:pBdr>
          <w:bottom w:val="single" w:color="2E75B6" w:sz="6" w:space="1"/>
        </w:pBdr>
        <w:spacing w:before="120" w:after="120"/>
      </w:pPr>
      <w:r>
        <w:t xml:space="preserve"/>
      </w:r>
    </w:p>
    <w:p>
      <w:pPr>
        <w:spacing w:before="360" w:after="80"/>
        <w:jc w:val="center"/>
      </w:pPr>
      <w:r>
        <w:rPr>
          <w:rFonts w:ascii="Arial" w:cs="Arial" w:eastAsia="Arial" w:hAnsi="Arial"/>
          <w:b/>
          <w:bCs/>
          <w:color w:val="1A1A1A"/>
          <w:sz w:val="40"/>
          <w:szCs w:val="40"/>
        </w:rPr>
        <w:t xml:space="preserve">Data Handling &amp; Classification</w:t>
      </w:r>
    </w:p>
    <w:p>
      <w:pPr>
        <w:spacing w:before="0" w:after="80"/>
        <w:jc w:val="center"/>
      </w:pPr>
      <w:r>
        <w:rPr>
          <w:rFonts w:ascii="Arial" w:cs="Arial" w:eastAsia="Arial" w:hAnsi="Arial"/>
          <w:b/>
          <w:bCs/>
          <w:color w:val="1A1A1A"/>
          <w:sz w:val="36"/>
          <w:szCs w:val="36"/>
        </w:rPr>
        <w:t xml:space="preserve">Standard Operating Procedure</w:t>
      </w:r>
    </w:p>
    <w:p>
      <w:pPr>
        <w:spacing w:before="0" w:after="600"/>
        <w:jc w:val="center"/>
      </w:pPr>
      <w:r>
        <w:rPr>
          <w:rFonts w:ascii="Arial" w:cs="Arial" w:eastAsia="Arial" w:hAnsi="Arial"/>
          <w:i/>
          <w:iCs/>
          <w:color w:val="888888"/>
          <w:sz w:val="22"/>
          <w:szCs w:val="22"/>
        </w:rPr>
        <w:t xml:space="preserve">Branch-Specific Local Supplement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Document 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BBK-OPS-012-KW</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Parent Policy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BBK-OPS-012 v1.3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Branch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Kuwait Branch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Jurisdiction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State of Kuwait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Version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Effective 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 January 2025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Regulatory Ref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Law No. 2/2023 (Data Privacy) / CBK Regulations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Classification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CONFIDENTIAL — INTERNAL USE ONLY</w:t>
            </w:r>
          </w:p>
        </w:tc>
      </w:tr>
    </w:tbl>
    <w:p>
      <w:pPr>
        <w:pageBreakBefore/>
      </w:pPr>
      <w:r>
        <w:t xml:space="preserve"/>
      </w:r>
    </w:p>
    <w:p>
      <w:pPr>
        <w:pStyle w:val="Heading1"/>
        <w:spacing w:before="360" w:after="120"/>
      </w:pPr>
      <w:r>
        <w:rPr>
          <w:rFonts w:ascii="Arial" w:cs="Arial" w:eastAsia="Arial" w:hAnsi="Arial"/>
          <w:b/>
          <w:bCs/>
          <w:color w:val="1F4E79"/>
          <w:sz w:val="32"/>
          <w:szCs w:val="32"/>
        </w:rPr>
        <w:t xml:space="preserve">1. Purpose and Relationship to Group Policy</w:t>
      </w:r>
    </w:p>
    <w:p>
      <w:pPr>
        <w:spacing w:before="60" w:after="60"/>
      </w:pPr>
      <w:r>
        <w:rPr>
          <w:rFonts w:ascii="Arial" w:cs="Arial" w:eastAsia="Arial" w:hAnsi="Arial"/>
          <w:i w:val="false"/>
          <w:iCs w:val="false"/>
          <w:sz w:val="20"/>
          <w:szCs w:val="20"/>
        </w:rPr>
        <w:t xml:space="preserve">This document is a jurisdiction-specific supplement to the BBK Group Data Handling &amp; Classification SOP (BBK-OPS-012). It adapts Group requirements to the legal and regulatory obligations applicable to BBK's operations in the State of Kuwait and must be read alongside the Group policy.</w:t>
      </w:r>
    </w:p>
    <w:p>
      <w:pPr>
        <w:spacing w:before="60" w:after="60"/>
      </w:pPr>
      <w:r>
        <w:rPr>
          <w:rFonts w:ascii="Arial" w:cs="Arial" w:eastAsia="Arial" w:hAnsi="Arial"/>
          <w:i w:val="false"/>
          <w:iCs w:val="false"/>
          <w:sz w:val="20"/>
          <w:szCs w:val="20"/>
        </w:rPr>
        <w:t xml:space="preserve">Where this supplement is silent on a matter addressed by the Group policy, the Group policy applies in full. Where this supplement is more stringent, the more stringent requirement governs.</w:t>
      </w:r>
    </w:p>
    <w:p>
      <w:r>
        <w:t xml:space="preserve"/>
      </w:r>
    </w:p>
    <w:p>
      <w:pPr>
        <w:pStyle w:val="Heading1"/>
        <w:spacing w:before="360" w:after="120"/>
      </w:pPr>
      <w:r>
        <w:rPr>
          <w:rFonts w:ascii="Arial" w:cs="Arial" w:eastAsia="Arial" w:hAnsi="Arial"/>
          <w:b/>
          <w:bCs/>
          <w:color w:val="1F4E79"/>
          <w:sz w:val="32"/>
          <w:szCs w:val="32"/>
        </w:rPr>
        <w:t xml:space="preserve">2. Applicable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Regulation / Authority</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Relevance to This SOP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Law No. 2 of 2023 — Personal Data Privacy Protection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 data protection law in Kuwait; establishes processing obligations, data subject rights, and transfer restrictions.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Central Bank of Kuwait (CBK) — Banking Regulations &amp; Instructions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Governs customer data confidentiality, KYC data requirements, and outsourcing of data-related functions.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Law No. 106 of 2013 (Anti-Money Laundering &amp; Terrorism Financing)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Mandates retention of transaction and identification records; reporting obligations to FIU Kuwait.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Telecommunications Regulatory Authority (TRA) — Digital Data Guidance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Guidance on electronic records, digital communications, and online data handling.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 Privacy Protection Authority (DPPA) — Kuwait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Supervisory authority under Law No. 2/2023; recipient of breach notifications and compliance inquiries.</w:t>
            </w:r>
          </w:p>
        </w:tc>
      </w:tr>
    </w:tbl>
    <w:p>
      <w:r>
        <w:t xml:space="preserve"/>
      </w:r>
    </w:p>
    <w:p>
      <w:pPr>
        <w:pStyle w:val="Heading1"/>
        <w:spacing w:before="360" w:after="120"/>
      </w:pPr>
      <w:r>
        <w:rPr>
          <w:rFonts w:ascii="Arial" w:cs="Arial" w:eastAsia="Arial" w:hAnsi="Arial"/>
          <w:b/>
          <w:bCs/>
          <w:color w:val="1F4E79"/>
          <w:sz w:val="32"/>
          <w:szCs w:val="32"/>
        </w:rPr>
        <w:t xml:space="preserve">3. Data Classification — Kuwait Branch Specifics</w:t>
      </w:r>
    </w:p>
    <w:p>
      <w:pPr>
        <w:pStyle w:val="Heading2"/>
        <w:spacing w:before="240" w:after="80"/>
      </w:pPr>
      <w:r>
        <w:rPr>
          <w:rFonts w:ascii="Arial" w:cs="Arial" w:eastAsia="Arial" w:hAnsi="Arial"/>
          <w:b/>
          <w:bCs/>
          <w:color w:val="2E75B6"/>
          <w:sz w:val="26"/>
          <w:szCs w:val="26"/>
        </w:rPr>
        <w:t xml:space="preserve">3.1 Sensitive Personal Data under Law No. 2/2023</w:t>
      </w:r>
    </w:p>
    <w:p>
      <w:pPr>
        <w:spacing w:before="60" w:after="60"/>
      </w:pPr>
      <w:r>
        <w:rPr>
          <w:rFonts w:ascii="Arial" w:cs="Arial" w:eastAsia="Arial" w:hAnsi="Arial"/>
          <w:i w:val="false"/>
          <w:iCs w:val="false"/>
          <w:sz w:val="20"/>
          <w:szCs w:val="20"/>
        </w:rPr>
        <w:t xml:space="preserve">Kuwait's Law No. 2/2023 defines sensitive personal data to include the following, all of which must be classified as Strictly Confidential (L1):</w:t>
      </w:r>
    </w:p>
    <w:p>
      <w:pPr>
        <w:pStyle w:val="ListParagraph"/>
        <w:numPr>
          <w:ilvl w:val="0"/>
          <w:numId w:val="2"/>
        </w:numPr>
        <w:spacing w:before="40" w:after="40"/>
      </w:pPr>
      <w:r>
        <w:rPr>
          <w:rFonts w:ascii="Arial" w:cs="Arial" w:eastAsia="Arial" w:hAnsi="Arial"/>
          <w:sz w:val="20"/>
          <w:szCs w:val="20"/>
        </w:rPr>
        <w:t xml:space="preserve">Data revealing racial, ethnic, or tribal origin</w:t>
      </w:r>
    </w:p>
    <w:p>
      <w:pPr>
        <w:pStyle w:val="ListParagraph"/>
        <w:numPr>
          <w:ilvl w:val="0"/>
          <w:numId w:val="2"/>
        </w:numPr>
        <w:spacing w:before="40" w:after="40"/>
      </w:pPr>
      <w:r>
        <w:rPr>
          <w:rFonts w:ascii="Arial" w:cs="Arial" w:eastAsia="Arial" w:hAnsi="Arial"/>
          <w:sz w:val="20"/>
          <w:szCs w:val="20"/>
        </w:rPr>
        <w:t xml:space="preserve">Political opinions and affiliations</w:t>
      </w:r>
    </w:p>
    <w:p>
      <w:pPr>
        <w:pStyle w:val="ListParagraph"/>
        <w:numPr>
          <w:ilvl w:val="0"/>
          <w:numId w:val="2"/>
        </w:numPr>
        <w:spacing w:before="40" w:after="40"/>
      </w:pPr>
      <w:r>
        <w:rPr>
          <w:rFonts w:ascii="Arial" w:cs="Arial" w:eastAsia="Arial" w:hAnsi="Arial"/>
          <w:sz w:val="20"/>
          <w:szCs w:val="20"/>
        </w:rPr>
        <w:t xml:space="preserve">Religious or doctrinal beliefs</w:t>
      </w:r>
    </w:p>
    <w:p>
      <w:pPr>
        <w:pStyle w:val="ListParagraph"/>
        <w:numPr>
          <w:ilvl w:val="0"/>
          <w:numId w:val="2"/>
        </w:numPr>
        <w:spacing w:before="40" w:after="40"/>
      </w:pPr>
      <w:r>
        <w:rPr>
          <w:rFonts w:ascii="Arial" w:cs="Arial" w:eastAsia="Arial" w:hAnsi="Arial"/>
          <w:sz w:val="20"/>
          <w:szCs w:val="20"/>
        </w:rPr>
        <w:t xml:space="preserve">Health, genetic, and biometric data</w:t>
      </w:r>
    </w:p>
    <w:p>
      <w:pPr>
        <w:pStyle w:val="ListParagraph"/>
        <w:numPr>
          <w:ilvl w:val="0"/>
          <w:numId w:val="2"/>
        </w:numPr>
        <w:spacing w:before="40" w:after="40"/>
      </w:pPr>
      <w:r>
        <w:rPr>
          <w:rFonts w:ascii="Arial" w:cs="Arial" w:eastAsia="Arial" w:hAnsi="Arial"/>
          <w:sz w:val="20"/>
          <w:szCs w:val="20"/>
        </w:rPr>
        <w:t xml:space="preserve">Sexual orientation</w:t>
      </w:r>
    </w:p>
    <w:p>
      <w:pPr>
        <w:pStyle w:val="ListParagraph"/>
        <w:numPr>
          <w:ilvl w:val="0"/>
          <w:numId w:val="2"/>
        </w:numPr>
        <w:spacing w:before="40" w:after="40"/>
      </w:pPr>
      <w:r>
        <w:rPr>
          <w:rFonts w:ascii="Arial" w:cs="Arial" w:eastAsia="Arial" w:hAnsi="Arial"/>
          <w:sz w:val="20"/>
          <w:szCs w:val="20"/>
        </w:rPr>
        <w:t xml:space="preserve">Criminal convictions and offences</w:t>
      </w:r>
    </w:p>
    <w:p>
      <w:pPr>
        <w:pStyle w:val="ListParagraph"/>
        <w:numPr>
          <w:ilvl w:val="0"/>
          <w:numId w:val="2"/>
        </w:numPr>
        <w:spacing w:before="40" w:after="40"/>
      </w:pPr>
      <w:r>
        <w:rPr>
          <w:rFonts w:ascii="Arial" w:cs="Arial" w:eastAsia="Arial" w:hAnsi="Arial"/>
          <w:sz w:val="20"/>
          <w:szCs w:val="20"/>
        </w:rPr>
        <w:t xml:space="preserve">Financial data that could enable identity fraud when disclosed</w:t>
      </w:r>
    </w:p>
    <w:p>
      <w:pPr>
        <w:spacing w:before="60" w:after="60"/>
        <w:ind w:left="400"/>
      </w:pPr>
      <w:r>
        <w:rPr>
          <w:rFonts w:ascii="Arial" w:cs="Arial" w:eastAsia="Arial" w:hAnsi="Arial"/>
          <w:i/>
          <w:iCs/>
          <w:color w:val="555555"/>
          <w:sz w:val="18"/>
          <w:szCs w:val="18"/>
        </w:rPr>
        <w:t xml:space="preserve">ℹ  Kuwait's Law No. 2/2023 explicitly includes tribal origin — a category unique to Gulf data protection frameworks. Staff must be aware that tribal affiliation data appearing in customer records must be handled as sensitive.</w:t>
      </w:r>
    </w:p>
    <w:p>
      <w:pPr>
        <w:pStyle w:val="Heading2"/>
        <w:spacing w:before="240" w:after="80"/>
      </w:pPr>
      <w:r>
        <w:rPr>
          <w:rFonts w:ascii="Arial" w:cs="Arial" w:eastAsia="Arial" w:hAnsi="Arial"/>
          <w:b/>
          <w:bCs/>
          <w:color w:val="2E75B6"/>
          <w:sz w:val="26"/>
          <w:szCs w:val="26"/>
        </w:rPr>
        <w:t xml:space="preserve">3.2 Bank Secrecy Obligations</w:t>
      </w:r>
    </w:p>
    <w:p>
      <w:pPr>
        <w:spacing w:before="60" w:after="60"/>
      </w:pPr>
      <w:r>
        <w:rPr>
          <w:rFonts w:ascii="Arial" w:cs="Arial" w:eastAsia="Arial" w:hAnsi="Arial"/>
          <w:i w:val="false"/>
          <w:iCs w:val="false"/>
          <w:sz w:val="20"/>
          <w:szCs w:val="20"/>
        </w:rPr>
        <w:t xml:space="preserve">In addition to data protection requirements, Kuwait's banking law imposes strict bank secrecy obligations. Customer account and transaction data is therefore dual-regulated: subject to both data protection and bank secrecy rules. Any disclosure — including to auditors, group entities, or regulators other than the CBK — requires specific legal authorization and must be logged in the Disclosure Register.</w:t>
      </w:r>
    </w:p>
    <w:p>
      <w:r>
        <w:t xml:space="preserve"/>
      </w:r>
    </w:p>
    <w:p>
      <w:pPr>
        <w:pStyle w:val="Heading1"/>
        <w:spacing w:before="360" w:after="120"/>
      </w:pPr>
      <w:r>
        <w:rPr>
          <w:rFonts w:ascii="Arial" w:cs="Arial" w:eastAsia="Arial" w:hAnsi="Arial"/>
          <w:b/>
          <w:bCs/>
          <w:color w:val="1F4E79"/>
          <w:sz w:val="32"/>
          <w:szCs w:val="32"/>
        </w:rPr>
        <w:t xml:space="preserve">4. Data Retention — Kuwait Regulatory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Data Category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Group Default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Kuwait Requirement</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Legal Basis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KYC / Customer ID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 post-relationship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AML Law No. 106/2013; CBK Instructions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Transaction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AML Law No. 106/2013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Credit &amp; Loan Agreements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15 years post-settlement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Kuwait Civil Code; CBK Instructions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Customer Complaints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 years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CBK Consumer Protection Regulations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Employee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 years post-employment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Kuwait Labour Law No. 6/2010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SARs / FIU 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AML Law No. 106/2013 / FIU Kuwait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Audit Trail / Access 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 years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CBK IT Governance Circular</w:t>
            </w:r>
          </w:p>
        </w:tc>
      </w:tr>
    </w:tbl>
    <w:p>
      <w:pPr>
        <w:spacing w:before="60" w:after="60"/>
        <w:ind w:left="400"/>
      </w:pPr>
      <w:r>
        <w:rPr>
          <w:rFonts w:ascii="Arial" w:cs="Arial" w:eastAsia="Arial" w:hAnsi="Arial"/>
          <w:i/>
          <w:iCs/>
          <w:color w:val="555555"/>
          <w:sz w:val="18"/>
          <w:szCs w:val="18"/>
        </w:rPr>
        <w:t xml:space="preserve">ℹ  Credit &amp; loan agreements have a 15-year retention requirement under Kuwaiti civil law, exceeding the Group default. Compliance with the longer period is mandatory.</w:t>
      </w:r>
    </w:p>
    <w:p>
      <w:r>
        <w:t xml:space="preserve"/>
      </w:r>
    </w:p>
    <w:p>
      <w:pPr>
        <w:pStyle w:val="Heading1"/>
        <w:spacing w:before="360" w:after="120"/>
      </w:pPr>
      <w:r>
        <w:rPr>
          <w:rFonts w:ascii="Arial" w:cs="Arial" w:eastAsia="Arial" w:hAnsi="Arial"/>
          <w:b/>
          <w:bCs/>
          <w:color w:val="1F4E79"/>
          <w:sz w:val="32"/>
          <w:szCs w:val="32"/>
        </w:rPr>
        <w:t xml:space="preserve">5. Cross-Border Data Transfers — Kuwait</w:t>
      </w:r>
    </w:p>
    <w:p>
      <w:pPr>
        <w:spacing w:before="60" w:after="60"/>
      </w:pPr>
      <w:r>
        <w:rPr>
          <w:rFonts w:ascii="Arial" w:cs="Arial" w:eastAsia="Arial" w:hAnsi="Arial"/>
          <w:i w:val="false"/>
          <w:iCs w:val="false"/>
          <w:sz w:val="20"/>
          <w:szCs w:val="20"/>
        </w:rPr>
        <w:t xml:space="preserve">Law No. 2/2023 restricts the transfer of personal data outside the State of Kuwait. Transfers are permitted only where:</w:t>
      </w:r>
    </w:p>
    <w:p>
      <w:pPr>
        <w:pStyle w:val="ListParagraph"/>
        <w:numPr>
          <w:ilvl w:val="0"/>
          <w:numId w:val="2"/>
        </w:numPr>
        <w:spacing w:before="40" w:after="40"/>
      </w:pPr>
      <w:r>
        <w:rPr>
          <w:rFonts w:ascii="Arial" w:cs="Arial" w:eastAsia="Arial" w:hAnsi="Arial"/>
          <w:sz w:val="20"/>
          <w:szCs w:val="20"/>
        </w:rPr>
        <w:t xml:space="preserve">The receiving country provides an equivalent level of data protection as recognized by the DPPA; or</w:t>
      </w:r>
    </w:p>
    <w:p>
      <w:pPr>
        <w:pStyle w:val="ListParagraph"/>
        <w:numPr>
          <w:ilvl w:val="0"/>
          <w:numId w:val="2"/>
        </w:numPr>
        <w:spacing w:before="40" w:after="40"/>
      </w:pPr>
      <w:r>
        <w:rPr>
          <w:rFonts w:ascii="Arial" w:cs="Arial" w:eastAsia="Arial" w:hAnsi="Arial"/>
          <w:sz w:val="20"/>
          <w:szCs w:val="20"/>
        </w:rPr>
        <w:t xml:space="preserve">The data subject has provided free, specific, and informed consent; or</w:t>
      </w:r>
    </w:p>
    <w:p>
      <w:pPr>
        <w:pStyle w:val="ListParagraph"/>
        <w:numPr>
          <w:ilvl w:val="0"/>
          <w:numId w:val="2"/>
        </w:numPr>
        <w:spacing w:before="40" w:after="40"/>
      </w:pPr>
      <w:r>
        <w:rPr>
          <w:rFonts w:ascii="Arial" w:cs="Arial" w:eastAsia="Arial" w:hAnsi="Arial"/>
          <w:sz w:val="20"/>
          <w:szCs w:val="20"/>
        </w:rPr>
        <w:t xml:space="preserve">The transfer is required for performance of a contract to which the data subject is party; or</w:t>
      </w:r>
    </w:p>
    <w:p>
      <w:pPr>
        <w:pStyle w:val="ListParagraph"/>
        <w:numPr>
          <w:ilvl w:val="0"/>
          <w:numId w:val="2"/>
        </w:numPr>
        <w:spacing w:before="40" w:after="40"/>
      </w:pPr>
      <w:r>
        <w:rPr>
          <w:rFonts w:ascii="Arial" w:cs="Arial" w:eastAsia="Arial" w:hAnsi="Arial"/>
          <w:sz w:val="20"/>
          <w:szCs w:val="20"/>
        </w:rPr>
        <w:t xml:space="preserve">A binding contractual framework (standard clauses or equivalent) is in place with the recipient.</w:t>
      </w:r>
    </w:p>
    <w:p>
      <w:pPr>
        <w:spacing w:before="60" w:after="60"/>
      </w:pPr>
      <w:r>
        <w:rPr>
          <w:rFonts w:ascii="Arial" w:cs="Arial" w:eastAsia="Arial" w:hAnsi="Arial"/>
          <w:i w:val="false"/>
          <w:iCs w:val="false"/>
          <w:sz w:val="20"/>
          <w:szCs w:val="20"/>
        </w:rPr>
        <w:t xml:space="preserve">All international data transfers must be pre-approved by the Branch Compliance Officer and registered in the Kuwait Branch Cross-Border Transfer Register. Transfers to BBK Bahrain and other group entities require the same documentation.</w:t>
      </w:r>
    </w:p>
    <w:p>
      <w:pPr>
        <w:spacing w:before="60" w:after="60"/>
        <w:ind w:left="400"/>
      </w:pPr>
      <w:r>
        <w:rPr>
          <w:rFonts w:ascii="Arial" w:cs="Arial" w:eastAsia="Arial" w:hAnsi="Arial"/>
          <w:i/>
          <w:iCs/>
          <w:color w:val="555555"/>
          <w:sz w:val="18"/>
          <w:szCs w:val="18"/>
        </w:rPr>
        <w:t xml:space="preserve">ℹ  The DPPA has not yet published its adequacy list as of Q1 2025. In the absence of an adequacy decision, consent or contractual safeguards must be relied upon for all transfers.</w:t>
      </w:r>
    </w:p>
    <w:p>
      <w:r>
        <w:t xml:space="preserve"/>
      </w:r>
    </w:p>
    <w:p>
      <w:pPr>
        <w:pStyle w:val="Heading1"/>
        <w:spacing w:before="360" w:after="120"/>
      </w:pPr>
      <w:r>
        <w:rPr>
          <w:rFonts w:ascii="Arial" w:cs="Arial" w:eastAsia="Arial" w:hAnsi="Arial"/>
          <w:b/>
          <w:bCs/>
          <w:color w:val="1F4E79"/>
          <w:sz w:val="32"/>
          <w:szCs w:val="32"/>
        </w:rPr>
        <w:t xml:space="preserve">6. Data Subject Rights — Kuwait Local Procedure</w:t>
      </w:r>
    </w:p>
    <w:p>
      <w:pPr>
        <w:pStyle w:val="ListParagraph"/>
        <w:numPr>
          <w:ilvl w:val="0"/>
          <w:numId w:val="2"/>
        </w:numPr>
        <w:spacing w:before="40" w:after="40"/>
      </w:pPr>
      <w:r>
        <w:rPr>
          <w:rFonts w:ascii="Arial" w:cs="Arial" w:eastAsia="Arial" w:hAnsi="Arial"/>
          <w:sz w:val="20"/>
          <w:szCs w:val="20"/>
        </w:rPr>
        <w:t xml:space="preserve">Requests received through any channel (branch, digital, written) must be logged within 2 business days.</w:t>
      </w:r>
    </w:p>
    <w:p>
      <w:pPr>
        <w:pStyle w:val="ListParagraph"/>
        <w:numPr>
          <w:ilvl w:val="0"/>
          <w:numId w:val="2"/>
        </w:numPr>
        <w:spacing w:before="40" w:after="40"/>
      </w:pPr>
      <w:r>
        <w:rPr>
          <w:rFonts w:ascii="Arial" w:cs="Arial" w:eastAsia="Arial" w:hAnsi="Arial"/>
          <w:sz w:val="20"/>
          <w:szCs w:val="20"/>
        </w:rPr>
        <w:t xml:space="preserve">Acknowledgment issued to data subject within 5 business days confirming receipt and expected timeline.</w:t>
      </w:r>
    </w:p>
    <w:p>
      <w:pPr>
        <w:pStyle w:val="ListParagraph"/>
        <w:numPr>
          <w:ilvl w:val="0"/>
          <w:numId w:val="2"/>
        </w:numPr>
        <w:spacing w:before="40" w:after="40"/>
      </w:pPr>
      <w:r>
        <w:rPr>
          <w:rFonts w:ascii="Arial" w:cs="Arial" w:eastAsia="Arial" w:hAnsi="Arial"/>
          <w:sz w:val="20"/>
          <w:szCs w:val="20"/>
        </w:rPr>
        <w:t xml:space="preserve">Response deadline: 30 calendar days, extendable by a further 30 days with written notice.</w:t>
      </w:r>
    </w:p>
    <w:p>
      <w:pPr>
        <w:pStyle w:val="ListParagraph"/>
        <w:numPr>
          <w:ilvl w:val="0"/>
          <w:numId w:val="2"/>
        </w:numPr>
        <w:spacing w:before="40" w:after="40"/>
      </w:pPr>
      <w:r>
        <w:rPr>
          <w:rFonts w:ascii="Arial" w:cs="Arial" w:eastAsia="Arial" w:hAnsi="Arial"/>
          <w:sz w:val="20"/>
          <w:szCs w:val="20"/>
        </w:rPr>
        <w:t xml:space="preserve">Identity verification of the requestor is mandatory before disclosure of any personal data.</w:t>
      </w:r>
    </w:p>
    <w:p>
      <w:pPr>
        <w:pStyle w:val="ListParagraph"/>
        <w:numPr>
          <w:ilvl w:val="0"/>
          <w:numId w:val="2"/>
        </w:numPr>
        <w:spacing w:before="40" w:after="40"/>
      </w:pPr>
      <w:r>
        <w:rPr>
          <w:rFonts w:ascii="Arial" w:cs="Arial" w:eastAsia="Arial" w:hAnsi="Arial"/>
          <w:sz w:val="20"/>
          <w:szCs w:val="20"/>
        </w:rPr>
        <w:t xml:space="preserve">Data subjects have the right to object to processing for direct marketing purposes; objections must be acted upon immediately.</w:t>
      </w:r>
    </w:p>
    <w:p>
      <w:pPr>
        <w:pStyle w:val="ListParagraph"/>
        <w:numPr>
          <w:ilvl w:val="0"/>
          <w:numId w:val="2"/>
        </w:numPr>
        <w:spacing w:before="40" w:after="40"/>
      </w:pPr>
      <w:r>
        <w:rPr>
          <w:rFonts w:ascii="Arial" w:cs="Arial" w:eastAsia="Arial" w:hAnsi="Arial"/>
          <w:sz w:val="20"/>
          <w:szCs w:val="20"/>
        </w:rPr>
        <w:t xml:space="preserve">Requests logged using Form BBK-KW-DSR-001 and reviewed monthly by the Branch Compliance Officer.</w:t>
      </w:r>
    </w:p>
    <w:p>
      <w:r>
        <w:t xml:space="preserve"/>
      </w:r>
    </w:p>
    <w:p>
      <w:pPr>
        <w:pStyle w:val="Heading1"/>
        <w:spacing w:before="360" w:after="120"/>
      </w:pPr>
      <w:r>
        <w:rPr>
          <w:rFonts w:ascii="Arial" w:cs="Arial" w:eastAsia="Arial" w:hAnsi="Arial"/>
          <w:b/>
          <w:bCs/>
          <w:color w:val="1F4E79"/>
          <w:sz w:val="32"/>
          <w:szCs w:val="32"/>
        </w:rPr>
        <w:t xml:space="preserve">7. Breach Notification — Kuwait DPPA Requirements</w:t>
      </w:r>
    </w:p>
    <w:p>
      <w:pPr>
        <w:pStyle w:val="ListParagraph"/>
        <w:numPr>
          <w:ilvl w:val="0"/>
          <w:numId w:val="2"/>
        </w:numPr>
        <w:spacing w:before="40" w:after="40"/>
      </w:pPr>
      <w:r>
        <w:rPr>
          <w:rFonts w:ascii="Arial" w:cs="Arial" w:eastAsia="Arial" w:hAnsi="Arial"/>
          <w:sz w:val="20"/>
          <w:szCs w:val="20"/>
        </w:rPr>
        <w:t xml:space="preserve">The Kuwait DPPA must be notified of breaches likely to affect data subjects' rights within 72 hours of discovery.</w:t>
      </w:r>
    </w:p>
    <w:p>
      <w:pPr>
        <w:pStyle w:val="ListParagraph"/>
        <w:numPr>
          <w:ilvl w:val="0"/>
          <w:numId w:val="2"/>
        </w:numPr>
        <w:spacing w:before="40" w:after="40"/>
      </w:pPr>
      <w:r>
        <w:rPr>
          <w:rFonts w:ascii="Arial" w:cs="Arial" w:eastAsia="Arial" w:hAnsi="Arial"/>
          <w:sz w:val="20"/>
          <w:szCs w:val="20"/>
        </w:rPr>
        <w:t xml:space="preserve">Notification must include: nature and scope of the breach, type of personal data affected, estimated number of data subjects, immediate containment measures taken, and DPO contact details.</w:t>
      </w:r>
    </w:p>
    <w:p>
      <w:pPr>
        <w:pStyle w:val="ListParagraph"/>
        <w:numPr>
          <w:ilvl w:val="0"/>
          <w:numId w:val="2"/>
        </w:numPr>
        <w:spacing w:before="40" w:after="40"/>
      </w:pPr>
      <w:r>
        <w:rPr>
          <w:rFonts w:ascii="Arial" w:cs="Arial" w:eastAsia="Arial" w:hAnsi="Arial"/>
          <w:sz w:val="20"/>
          <w:szCs w:val="20"/>
        </w:rPr>
        <w:t xml:space="preserve">Affected data subjects must be individually notified where the breach poses a high risk, using the branch's approved customer notification template (BBK-KW-BRN-001).</w:t>
      </w:r>
    </w:p>
    <w:p>
      <w:pPr>
        <w:pStyle w:val="ListParagraph"/>
        <w:numPr>
          <w:ilvl w:val="0"/>
          <w:numId w:val="2"/>
        </w:numPr>
        <w:spacing w:before="40" w:after="40"/>
      </w:pPr>
      <w:r>
        <w:rPr>
          <w:rFonts w:ascii="Arial" w:cs="Arial" w:eastAsia="Arial" w:hAnsi="Arial"/>
          <w:sz w:val="20"/>
          <w:szCs w:val="20"/>
        </w:rPr>
        <w:t xml:space="preserve">The Kuwait Branch Compliance Officer leads DPPA notification and coordinates with the Group DPO and Legal Division.</w:t>
      </w:r>
    </w:p>
    <w:p>
      <w:pPr>
        <w:pStyle w:val="ListParagraph"/>
        <w:numPr>
          <w:ilvl w:val="0"/>
          <w:numId w:val="2"/>
        </w:numPr>
        <w:spacing w:before="40" w:after="40"/>
      </w:pPr>
      <w:r>
        <w:rPr>
          <w:rFonts w:ascii="Arial" w:cs="Arial" w:eastAsia="Arial" w:hAnsi="Arial"/>
          <w:sz w:val="20"/>
          <w:szCs w:val="20"/>
        </w:rPr>
        <w:t xml:space="preserve">All breaches — including near misses — must be entered in the Group Breach Register within 24 hours of discovery.</w:t>
      </w:r>
    </w:p>
    <w:p>
      <w:r>
        <w:t xml:space="preserve"/>
      </w:r>
    </w:p>
    <w:p>
      <w:pPr>
        <w:pStyle w:val="Heading1"/>
        <w:spacing w:before="360" w:after="120"/>
      </w:pPr>
      <w:r>
        <w:rPr>
          <w:rFonts w:ascii="Arial" w:cs="Arial" w:eastAsia="Arial" w:hAnsi="Arial"/>
          <w:b/>
          <w:bCs/>
          <w:color w:val="1F4E79"/>
          <w:sz w:val="32"/>
          <w:szCs w:val="32"/>
        </w:rPr>
        <w:t xml:space="preserve">8. Local Roles and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Role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Branch Compliance Officer — Kuwait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 contact for DPPA and CBK; manages breach notifications and cross-border transfer approvals.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Branch Privacy Liaison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Processes data subject rights requests; maintains local data registers and consent records.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CBK Regulatory Liaison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Manages CBK correspondence on data-related matters; submits periodic compliance reports.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Group DPO (escalation)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Escalation point for cross-border transfers, complex requests, and Group-level breach assessments.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2026-03-26T06:52:24.600Z</dcterms:created>
  <dcterms:modified xsi:type="dcterms:W3CDTF">2026-03-26T06:52:24.600Z</dcterms:modified>
</cp:coreProperties>
</file>

<file path=docProps/custom.xml><?xml version="1.0" encoding="utf-8"?>
<Properties xmlns="http://schemas.openxmlformats.org/officeDocument/2006/custom-properties" xmlns:vt="http://schemas.openxmlformats.org/officeDocument/2006/docPropsVTypes"/>
</file>