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F4E79"/>
          <w:sz w:val="56"/>
          <w:szCs w:val="56"/>
        </w:rPr>
        <w:t xml:space="preserve">BBK BANK</w:t>
      </w:r>
    </w:p>
    <w:p>
      <w:pPr>
        <w:spacing w:before="60" w:after="400"/>
        <w:jc w:val="center"/>
      </w:pPr>
      <w:r>
        <w:rPr>
          <w:rFonts w:ascii="Arial" w:cs="Arial" w:eastAsia="Arial" w:hAnsi="Arial"/>
          <w:color w:val="555555"/>
          <w:sz w:val="24"/>
          <w:szCs w:val="24"/>
        </w:rPr>
        <w:t xml:space="preserve">Bank of Bahrain and Kuwait</w:t>
      </w:r>
    </w:p>
    <w:p>
      <w:pPr>
        <w:pBdr>
          <w:bottom w:val="single" w:color="2E75B6" w:sz="6" w:space="1"/>
        </w:pBdr>
        <w:spacing w:before="120" w:after="120"/>
      </w:pPr>
      <w:r>
        <w:t xml:space="preserve"/>
      </w:r>
    </w:p>
    <w:p>
      <w:pPr>
        <w:spacing w:before="400" w:after="120"/>
        <w:jc w:val="center"/>
      </w:pPr>
      <w:r>
        <w:rPr>
          <w:rFonts w:ascii="Arial" w:cs="Arial" w:eastAsia="Arial" w:hAnsi="Arial"/>
          <w:b/>
          <w:bCs/>
          <w:color w:val="1A1A1A"/>
          <w:sz w:val="40"/>
          <w:szCs w:val="40"/>
        </w:rPr>
        <w:t xml:space="preserve">Third-Party &amp; Vendor Data Processing Policy</w:t>
      </w:r>
    </w:p>
    <w:p>
      <w:pPr>
        <w:spacing w:before="60" w:after="600"/>
        <w:jc w:val="center"/>
      </w:pPr>
      <w:r>
        <w:rPr>
          <w:rFonts w:ascii="Arial" w:cs="Arial" w:eastAsia="Arial" w:hAnsi="Arial"/>
          <w:i/>
          <w:iCs/>
          <w:color w:val="888888"/>
          <w:sz w:val="22"/>
          <w:szCs w:val="22"/>
        </w:rPr>
        <w:t xml:space="preserve">Internal Policy Document — Confidential</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BBK-PROC-007</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February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Legal &amp; Compliance Division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CONFIDENTIAL — INTERNAL USE ONLY</w:t>
            </w:r>
          </w:p>
        </w:tc>
      </w:tr>
    </w:tbl>
    <w:p>
      <w:pPr>
        <w:pageBreakBefore/>
      </w:pPr>
      <w:r>
        <w:t xml:space="preserve"/>
      </w:r>
    </w:p>
    <w:p>
      <w:pPr>
        <w:pStyle w:val="Heading1"/>
        <w:spacing w:before="360" w:after="120"/>
      </w:pPr>
      <w:r>
        <w:rPr>
          <w:rFonts w:ascii="Arial" w:cs="Arial" w:eastAsia="Arial" w:hAnsi="Arial"/>
          <w:b/>
          <w:bCs/>
          <w:color w:val="1F4E79"/>
          <w:sz w:val="32"/>
          <w:szCs w:val="32"/>
        </w:rPr>
        <w:t xml:space="preserve">1. Purpose and Scope</w:t>
      </w:r>
    </w:p>
    <w:p>
      <w:pPr>
        <w:spacing w:before="60" w:after="60"/>
      </w:pPr>
      <w:r>
        <w:rPr>
          <w:rFonts w:ascii="Arial" w:cs="Arial" w:eastAsia="Arial" w:hAnsi="Arial"/>
          <w:i w:val="false"/>
          <w:iCs w:val="false"/>
          <w:sz w:val="20"/>
          <w:szCs w:val="20"/>
        </w:rPr>
        <w:t xml:space="preserve">This Policy governs the selection, assessment, and ongoing management of third-party vendors and processors that handle personal data on behalf of BBK. It applies to all procurement and outsourcing arrangements involving access to or processing of BBK customer, employee, or operational data.</w:t>
      </w:r>
    </w:p>
    <w:p>
      <w:r>
        <w:t xml:space="preserve"/>
      </w:r>
    </w:p>
    <w:p>
      <w:pPr>
        <w:pStyle w:val="Heading1"/>
        <w:spacing w:before="360" w:after="120"/>
      </w:pPr>
      <w:r>
        <w:rPr>
          <w:rFonts w:ascii="Arial" w:cs="Arial" w:eastAsia="Arial" w:hAnsi="Arial"/>
          <w:b/>
          <w:bCs/>
          <w:color w:val="1F4E79"/>
          <w:sz w:val="32"/>
          <w:szCs w:val="32"/>
        </w:rPr>
        <w:t xml:space="preserve">2. Vendor Classification</w:t>
      </w:r>
    </w:p>
    <w:p>
      <w:pPr>
        <w:spacing w:before="60" w:after="60"/>
      </w:pPr>
      <w:r>
        <w:rPr>
          <w:rFonts w:ascii="Arial" w:cs="Arial" w:eastAsia="Arial" w:hAnsi="Arial"/>
          <w:i w:val="false"/>
          <w:iCs w:val="false"/>
          <w:sz w:val="20"/>
          <w:szCs w:val="20"/>
        </w:rPr>
        <w:t xml:space="preserve">Third parties shall be classified by the nature of their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val="false"/>
                <w:bCs w:val="false"/>
                <w:sz w:val="20"/>
                <w:szCs w:val="20"/>
              </w:rPr>
              <w:t xml:space="preserve">Category 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Processor (Critical)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banking system provider, cloud infrastructure, KYC/AML platform vendors.</w:t>
            </w:r>
          </w:p>
        </w:tc>
      </w:tr>
      <w:tr>
        <w:tc>
          <w:tcPr>
            <w:tcW w:type="dxa" w:w="2200"/>
            <w:tcBorders>
              <w:top w:val="single" w:color="CCCCCC" w:sz="1"/>
              <w:left w:val="single" w:color="CCCCCC" w:sz="1"/>
              <w:bottom w:val="single" w:color="CCCCCC" w:sz="1"/>
              <w:right w:val="single" w:color="CCCCCC" w:sz="1"/>
            </w:tcBorders>
            <w:shd w:fill="FEF3CD" w:val="clear"/>
            <w:tcMar>
              <w:top w:type="dxa" w:w="80"/>
              <w:left w:type="dxa" w:w="120"/>
              <w:bottom w:type="dxa" w:w="80"/>
              <w:right w:type="dxa" w:w="120"/>
            </w:tcMar>
          </w:tcPr>
          <w:p>
            <w:r>
              <w:rPr>
                <w:rFonts w:ascii="Arial" w:cs="Arial" w:eastAsia="Arial" w:hAnsi="Arial"/>
                <w:b w:val="false"/>
                <w:bCs w:val="false"/>
                <w:sz w:val="20"/>
                <w:szCs w:val="20"/>
              </w:rPr>
              <w:t xml:space="preserve">Category 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 Processor (Standard)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HR systems, marketing platforms, analytics providers.</w:t>
            </w:r>
          </w:p>
        </w:tc>
      </w:tr>
      <w:tr>
        <w:tc>
          <w:tcPr>
            <w:tcW w:type="dxa" w:w="2200"/>
            <w:tcBorders>
              <w:top w:val="single" w:color="CCCCCC" w:sz="1"/>
              <w:left w:val="single" w:color="CCCCCC" w:sz="1"/>
              <w:bottom w:val="single" w:color="CCCCCC" w:sz="1"/>
              <w:right w:val="single" w:color="CCCCCC" w:sz="1"/>
            </w:tcBorders>
            <w:shd w:fill="EAF4E8" w:val="clear"/>
            <w:tcMar>
              <w:top w:type="dxa" w:w="80"/>
              <w:left w:type="dxa" w:w="120"/>
              <w:bottom w:type="dxa" w:w="80"/>
              <w:right w:type="dxa" w:w="120"/>
            </w:tcMar>
          </w:tcPr>
          <w:p>
            <w:r>
              <w:rPr>
                <w:rFonts w:ascii="Arial" w:cs="Arial" w:eastAsia="Arial" w:hAnsi="Arial"/>
                <w:b w:val="false"/>
                <w:bCs w:val="false"/>
                <w:sz w:val="20"/>
                <w:szCs w:val="20"/>
              </w:rPr>
              <w:t xml:space="preserve">Category C</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Incidental Access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Facilities management, physical security contractors with limited system access.</w:t>
            </w:r>
          </w:p>
        </w:tc>
      </w:tr>
    </w:tbl>
    <w:p>
      <w:r>
        <w:t xml:space="preserve"/>
      </w:r>
    </w:p>
    <w:p>
      <w:pPr>
        <w:pStyle w:val="Heading1"/>
        <w:spacing w:before="360" w:after="120"/>
      </w:pPr>
      <w:r>
        <w:rPr>
          <w:rFonts w:ascii="Arial" w:cs="Arial" w:eastAsia="Arial" w:hAnsi="Arial"/>
          <w:b/>
          <w:bCs/>
          <w:color w:val="1F4E79"/>
          <w:sz w:val="32"/>
          <w:szCs w:val="32"/>
        </w:rPr>
        <w:t xml:space="preserve">3. Pre-Engagement Due Diligence</w:t>
      </w:r>
    </w:p>
    <w:p>
      <w:pPr>
        <w:spacing w:before="60" w:after="60"/>
      </w:pPr>
      <w:r>
        <w:rPr>
          <w:rFonts w:ascii="Arial" w:cs="Arial" w:eastAsia="Arial" w:hAnsi="Arial"/>
          <w:i w:val="false"/>
          <w:iCs w:val="false"/>
          <w:sz w:val="20"/>
          <w:szCs w:val="20"/>
        </w:rPr>
        <w:t xml:space="preserve">Before engaging any vendor in Categories A or B, the following assessment must be completed:</w:t>
      </w:r>
    </w:p>
    <w:p>
      <w:pPr>
        <w:pStyle w:val="Heading2"/>
        <w:spacing w:before="240" w:after="80"/>
      </w:pPr>
      <w:r>
        <w:rPr>
          <w:rFonts w:ascii="Arial" w:cs="Arial" w:eastAsia="Arial" w:hAnsi="Arial"/>
          <w:b/>
          <w:bCs/>
          <w:color w:val="2E75B6"/>
          <w:sz w:val="26"/>
          <w:szCs w:val="26"/>
        </w:rPr>
        <w:t xml:space="preserve">3.1 Information Security Assessment</w:t>
      </w:r>
    </w:p>
    <w:p>
      <w:pPr>
        <w:pStyle w:val="ListParagraph"/>
        <w:numPr>
          <w:ilvl w:val="0"/>
          <w:numId w:val="2"/>
        </w:numPr>
        <w:spacing w:before="40" w:after="40"/>
      </w:pPr>
      <w:r>
        <w:rPr>
          <w:rFonts w:ascii="Arial" w:cs="Arial" w:eastAsia="Arial" w:hAnsi="Arial"/>
          <w:sz w:val="20"/>
          <w:szCs w:val="20"/>
        </w:rPr>
        <w:t xml:space="preserve">Review of vendor's information security certifications (ISO 27001, SOC 2 Type II, or equivalent).</w:t>
      </w:r>
    </w:p>
    <w:p>
      <w:pPr>
        <w:pStyle w:val="ListParagraph"/>
        <w:numPr>
          <w:ilvl w:val="0"/>
          <w:numId w:val="2"/>
        </w:numPr>
        <w:spacing w:before="40" w:after="40"/>
      </w:pPr>
      <w:r>
        <w:rPr>
          <w:rFonts w:ascii="Arial" w:cs="Arial" w:eastAsia="Arial" w:hAnsi="Arial"/>
          <w:sz w:val="20"/>
          <w:szCs w:val="20"/>
        </w:rPr>
        <w:t xml:space="preserve">Completion of BBK's Third-Party Security Questionnaire (Form BBK-SEC-014).</w:t>
      </w:r>
    </w:p>
    <w:p>
      <w:pPr>
        <w:pStyle w:val="ListParagraph"/>
        <w:numPr>
          <w:ilvl w:val="0"/>
          <w:numId w:val="2"/>
        </w:numPr>
        <w:spacing w:before="40" w:after="40"/>
      </w:pPr>
      <w:r>
        <w:rPr>
          <w:rFonts w:ascii="Arial" w:cs="Arial" w:eastAsia="Arial" w:hAnsi="Arial"/>
          <w:sz w:val="20"/>
          <w:szCs w:val="20"/>
        </w:rPr>
        <w:t xml:space="preserve">Assessment of data breach history and incident response capabilities.</w:t>
      </w:r>
    </w:p>
    <w:p>
      <w:pPr>
        <w:pStyle w:val="ListParagraph"/>
        <w:numPr>
          <w:ilvl w:val="0"/>
          <w:numId w:val="2"/>
        </w:numPr>
        <w:spacing w:before="40" w:after="40"/>
      </w:pPr>
      <w:r>
        <w:rPr>
          <w:rFonts w:ascii="Arial" w:cs="Arial" w:eastAsia="Arial" w:hAnsi="Arial"/>
          <w:sz w:val="20"/>
          <w:szCs w:val="20"/>
        </w:rPr>
        <w:t xml:space="preserve">Review of subprocessor arrangements and data flow mapping.</w:t>
      </w:r>
    </w:p>
    <w:p>
      <w:pPr>
        <w:pStyle w:val="Heading2"/>
        <w:spacing w:before="240" w:after="80"/>
      </w:pPr>
      <w:r>
        <w:rPr>
          <w:rFonts w:ascii="Arial" w:cs="Arial" w:eastAsia="Arial" w:hAnsi="Arial"/>
          <w:b/>
          <w:bCs/>
          <w:color w:val="2E75B6"/>
          <w:sz w:val="26"/>
          <w:szCs w:val="26"/>
        </w:rPr>
        <w:t xml:space="preserve">3.2 Privacy Compliance Assessment</w:t>
      </w:r>
    </w:p>
    <w:p>
      <w:pPr>
        <w:pStyle w:val="ListParagraph"/>
        <w:numPr>
          <w:ilvl w:val="0"/>
          <w:numId w:val="2"/>
        </w:numPr>
        <w:spacing w:before="40" w:after="40"/>
      </w:pPr>
      <w:r>
        <w:rPr>
          <w:rFonts w:ascii="Arial" w:cs="Arial" w:eastAsia="Arial" w:hAnsi="Arial"/>
          <w:sz w:val="20"/>
          <w:szCs w:val="20"/>
        </w:rPr>
        <w:t xml:space="preserve">Confirmation that the vendor operates a documented data protection policy.</w:t>
      </w:r>
    </w:p>
    <w:p>
      <w:pPr>
        <w:pStyle w:val="ListParagraph"/>
        <w:numPr>
          <w:ilvl w:val="0"/>
          <w:numId w:val="2"/>
        </w:numPr>
        <w:spacing w:before="40" w:after="40"/>
      </w:pPr>
      <w:r>
        <w:rPr>
          <w:rFonts w:ascii="Arial" w:cs="Arial" w:eastAsia="Arial" w:hAnsi="Arial"/>
          <w:sz w:val="20"/>
          <w:szCs w:val="20"/>
        </w:rPr>
        <w:t xml:space="preserve">Review of the vendor's data retention and disposal practices.</w:t>
      </w:r>
    </w:p>
    <w:p>
      <w:pPr>
        <w:pStyle w:val="ListParagraph"/>
        <w:numPr>
          <w:ilvl w:val="0"/>
          <w:numId w:val="2"/>
        </w:numPr>
        <w:spacing w:before="40" w:after="40"/>
      </w:pPr>
      <w:r>
        <w:rPr>
          <w:rFonts w:ascii="Arial" w:cs="Arial" w:eastAsia="Arial" w:hAnsi="Arial"/>
          <w:sz w:val="20"/>
          <w:szCs w:val="20"/>
        </w:rPr>
        <w:t xml:space="preserve">Assessment of cross-border data transfer mechanisms if applicable.</w:t>
      </w:r>
    </w:p>
    <w:p>
      <w:pPr>
        <w:pStyle w:val="ListParagraph"/>
        <w:numPr>
          <w:ilvl w:val="0"/>
          <w:numId w:val="2"/>
        </w:numPr>
        <w:spacing w:before="40" w:after="40"/>
      </w:pPr>
      <w:r>
        <w:rPr>
          <w:rFonts w:ascii="Arial" w:cs="Arial" w:eastAsia="Arial" w:hAnsi="Arial"/>
          <w:sz w:val="20"/>
          <w:szCs w:val="20"/>
        </w:rPr>
        <w:t xml:space="preserve">Confirmation of the vendor's ability to support data subject rights requests within required timeframes.</w:t>
      </w:r>
    </w:p>
    <w:p>
      <w:pPr>
        <w:pStyle w:val="Heading2"/>
        <w:spacing w:before="240" w:after="80"/>
      </w:pPr>
      <w:r>
        <w:rPr>
          <w:rFonts w:ascii="Arial" w:cs="Arial" w:eastAsia="Arial" w:hAnsi="Arial"/>
          <w:b/>
          <w:bCs/>
          <w:color w:val="2E75B6"/>
          <w:sz w:val="26"/>
          <w:szCs w:val="26"/>
        </w:rPr>
        <w:t xml:space="preserve">3.3 Regulatory &amp; Legal Review</w:t>
      </w:r>
    </w:p>
    <w:p>
      <w:pPr>
        <w:pStyle w:val="ListParagraph"/>
        <w:numPr>
          <w:ilvl w:val="0"/>
          <w:numId w:val="2"/>
        </w:numPr>
        <w:spacing w:before="40" w:after="40"/>
      </w:pPr>
      <w:r>
        <w:rPr>
          <w:rFonts w:ascii="Arial" w:cs="Arial" w:eastAsia="Arial" w:hAnsi="Arial"/>
          <w:sz w:val="20"/>
          <w:szCs w:val="20"/>
        </w:rPr>
        <w:t xml:space="preserve">Legal review of vendor's contractual terms and any standard processing agreements.</w:t>
      </w:r>
    </w:p>
    <w:p>
      <w:pPr>
        <w:pStyle w:val="ListParagraph"/>
        <w:numPr>
          <w:ilvl w:val="0"/>
          <w:numId w:val="2"/>
        </w:numPr>
        <w:spacing w:before="40" w:after="40"/>
      </w:pPr>
      <w:r>
        <w:rPr>
          <w:rFonts w:ascii="Arial" w:cs="Arial" w:eastAsia="Arial" w:hAnsi="Arial"/>
          <w:sz w:val="20"/>
          <w:szCs w:val="20"/>
        </w:rPr>
        <w:t xml:space="preserve">Assessment of the vendor's jurisdiction and applicable law conflicts.</w:t>
      </w:r>
    </w:p>
    <w:p>
      <w:pPr>
        <w:pStyle w:val="ListParagraph"/>
        <w:numPr>
          <w:ilvl w:val="0"/>
          <w:numId w:val="2"/>
        </w:numPr>
        <w:spacing w:before="40" w:after="40"/>
      </w:pPr>
      <w:r>
        <w:rPr>
          <w:rFonts w:ascii="Arial" w:cs="Arial" w:eastAsia="Arial" w:hAnsi="Arial"/>
          <w:sz w:val="20"/>
          <w:szCs w:val="20"/>
        </w:rPr>
        <w:t xml:space="preserve">Sanctions screening and regulatory standing check.</w:t>
      </w:r>
    </w:p>
    <w:p>
      <w:r>
        <w:t xml:space="preserve"/>
      </w:r>
    </w:p>
    <w:p>
      <w:pPr>
        <w:pStyle w:val="Heading1"/>
        <w:spacing w:before="360" w:after="120"/>
      </w:pPr>
      <w:r>
        <w:rPr>
          <w:rFonts w:ascii="Arial" w:cs="Arial" w:eastAsia="Arial" w:hAnsi="Arial"/>
          <w:b/>
          <w:bCs/>
          <w:color w:val="1F4E79"/>
          <w:sz w:val="32"/>
          <w:szCs w:val="32"/>
        </w:rPr>
        <w:t xml:space="preserve">4. Data Processing Agreement Requirements</w:t>
      </w:r>
    </w:p>
    <w:p>
      <w:pPr>
        <w:spacing w:before="60" w:after="60"/>
      </w:pPr>
      <w:r>
        <w:rPr>
          <w:rFonts w:ascii="Arial" w:cs="Arial" w:eastAsia="Arial" w:hAnsi="Arial"/>
          <w:i w:val="false"/>
          <w:iCs w:val="false"/>
          <w:sz w:val="20"/>
          <w:szCs w:val="20"/>
        </w:rPr>
        <w:t xml:space="preserve">A Data Processing Agreement (DPA) must be executed with all Category A and Category B vendors prior to any processing of BBK personal data. The DPA must include, at minimum:</w:t>
      </w:r>
    </w:p>
    <w:p>
      <w:pPr>
        <w:pStyle w:val="ListParagraph"/>
        <w:numPr>
          <w:ilvl w:val="0"/>
          <w:numId w:val="2"/>
        </w:numPr>
        <w:spacing w:before="40" w:after="40"/>
      </w:pPr>
      <w:r>
        <w:rPr>
          <w:rFonts w:ascii="Arial" w:cs="Arial" w:eastAsia="Arial" w:hAnsi="Arial"/>
          <w:sz w:val="20"/>
          <w:szCs w:val="20"/>
        </w:rPr>
        <w:t xml:space="preserve">Subject matter, nature, purpose, and duration of the processing.</w:t>
      </w:r>
    </w:p>
    <w:p>
      <w:pPr>
        <w:pStyle w:val="ListParagraph"/>
        <w:numPr>
          <w:ilvl w:val="0"/>
          <w:numId w:val="2"/>
        </w:numPr>
        <w:spacing w:before="40" w:after="40"/>
      </w:pPr>
      <w:r>
        <w:rPr>
          <w:rFonts w:ascii="Arial" w:cs="Arial" w:eastAsia="Arial" w:hAnsi="Arial"/>
          <w:sz w:val="20"/>
          <w:szCs w:val="20"/>
        </w:rPr>
        <w:t xml:space="preserve">Type of personal data and categories of data subjects involved.</w:t>
      </w:r>
    </w:p>
    <w:p>
      <w:pPr>
        <w:pStyle w:val="ListParagraph"/>
        <w:numPr>
          <w:ilvl w:val="0"/>
          <w:numId w:val="2"/>
        </w:numPr>
        <w:spacing w:before="40" w:after="40"/>
      </w:pPr>
      <w:r>
        <w:rPr>
          <w:rFonts w:ascii="Arial" w:cs="Arial" w:eastAsia="Arial" w:hAnsi="Arial"/>
          <w:sz w:val="20"/>
          <w:szCs w:val="20"/>
        </w:rPr>
        <w:t xml:space="preserve">Processor's obligations and rights, including instructions-only processing commitment.</w:t>
      </w:r>
    </w:p>
    <w:p>
      <w:pPr>
        <w:pStyle w:val="ListParagraph"/>
        <w:numPr>
          <w:ilvl w:val="0"/>
          <w:numId w:val="2"/>
        </w:numPr>
        <w:spacing w:before="40" w:after="40"/>
      </w:pPr>
      <w:r>
        <w:rPr>
          <w:rFonts w:ascii="Arial" w:cs="Arial" w:eastAsia="Arial" w:hAnsi="Arial"/>
          <w:sz w:val="20"/>
          <w:szCs w:val="20"/>
        </w:rPr>
        <w:t xml:space="preserve">Confidentiality obligations on all persons authorized to process the data.</w:t>
      </w:r>
    </w:p>
    <w:p>
      <w:pPr>
        <w:pStyle w:val="ListParagraph"/>
        <w:numPr>
          <w:ilvl w:val="0"/>
          <w:numId w:val="2"/>
        </w:numPr>
        <w:spacing w:before="40" w:after="40"/>
      </w:pPr>
      <w:r>
        <w:rPr>
          <w:rFonts w:ascii="Arial" w:cs="Arial" w:eastAsia="Arial" w:hAnsi="Arial"/>
          <w:sz w:val="20"/>
          <w:szCs w:val="20"/>
        </w:rPr>
        <w:t xml:space="preserve">Implementation and maintenance of appropriate technical and organizational security measures.</w:t>
      </w:r>
    </w:p>
    <w:p>
      <w:pPr>
        <w:pStyle w:val="ListParagraph"/>
        <w:numPr>
          <w:ilvl w:val="0"/>
          <w:numId w:val="2"/>
        </w:numPr>
        <w:spacing w:before="40" w:after="40"/>
      </w:pPr>
      <w:r>
        <w:rPr>
          <w:rFonts w:ascii="Arial" w:cs="Arial" w:eastAsia="Arial" w:hAnsi="Arial"/>
          <w:sz w:val="20"/>
          <w:szCs w:val="20"/>
        </w:rPr>
        <w:t xml:space="preserve">Assistance obligations for data subject rights, breach notification, and regulatory inquiries.</w:t>
      </w:r>
    </w:p>
    <w:p>
      <w:pPr>
        <w:pStyle w:val="ListParagraph"/>
        <w:numPr>
          <w:ilvl w:val="0"/>
          <w:numId w:val="2"/>
        </w:numPr>
        <w:spacing w:before="40" w:after="40"/>
      </w:pPr>
      <w:r>
        <w:rPr>
          <w:rFonts w:ascii="Arial" w:cs="Arial" w:eastAsia="Arial" w:hAnsi="Arial"/>
          <w:sz w:val="20"/>
          <w:szCs w:val="20"/>
        </w:rPr>
        <w:t xml:space="preserve">Return or deletion of all personal data upon termination.</w:t>
      </w:r>
    </w:p>
    <w:p>
      <w:pPr>
        <w:pStyle w:val="ListParagraph"/>
        <w:numPr>
          <w:ilvl w:val="0"/>
          <w:numId w:val="2"/>
        </w:numPr>
        <w:spacing w:before="40" w:after="40"/>
      </w:pPr>
      <w:r>
        <w:rPr>
          <w:rFonts w:ascii="Arial" w:cs="Arial" w:eastAsia="Arial" w:hAnsi="Arial"/>
          <w:sz w:val="20"/>
          <w:szCs w:val="20"/>
        </w:rPr>
        <w:t xml:space="preserve">Audit rights permitting BBK to verify compliance.</w:t>
      </w:r>
    </w:p>
    <w:p>
      <w:pPr>
        <w:pStyle w:val="ListParagraph"/>
        <w:numPr>
          <w:ilvl w:val="0"/>
          <w:numId w:val="2"/>
        </w:numPr>
        <w:spacing w:before="40" w:after="40"/>
      </w:pPr>
      <w:r>
        <w:rPr>
          <w:rFonts w:ascii="Arial" w:cs="Arial" w:eastAsia="Arial" w:hAnsi="Arial"/>
          <w:sz w:val="20"/>
          <w:szCs w:val="20"/>
        </w:rPr>
        <w:t xml:space="preserve">Sub-processor notification and approval requirements.</w:t>
      </w:r>
    </w:p>
    <w:p>
      <w:r>
        <w:t xml:space="preserve"/>
      </w:r>
    </w:p>
    <w:p>
      <w:pPr>
        <w:pStyle w:val="Heading1"/>
        <w:spacing w:before="360" w:after="120"/>
      </w:pPr>
      <w:r>
        <w:rPr>
          <w:rFonts w:ascii="Arial" w:cs="Arial" w:eastAsia="Arial" w:hAnsi="Arial"/>
          <w:b/>
          <w:bCs/>
          <w:color w:val="1F4E79"/>
          <w:sz w:val="32"/>
          <w:szCs w:val="32"/>
        </w:rPr>
        <w:t xml:space="preserve">5. Ongoing Vendor Monitoring</w:t>
      </w:r>
    </w:p>
    <w:p>
      <w:pPr>
        <w:spacing w:before="60" w:after="60"/>
      </w:pPr>
      <w:r>
        <w:rPr>
          <w:rFonts w:ascii="Arial" w:cs="Arial" w:eastAsia="Arial" w:hAnsi="Arial"/>
          <w:i w:val="false"/>
          <w:iCs w:val="false"/>
          <w:sz w:val="20"/>
          <w:szCs w:val="20"/>
        </w:rPr>
        <w:t xml:space="preserve">Following engagement, vendor compliance shall be monitored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Review Frequency</w:t>
            </w:r>
          </w:p>
        </w:tc>
        <w:tc>
          <w:tcPr>
            <w:tcW w:type="dxa" w:w="4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Review Activities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Category 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 event-driven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security reassessment; audit rights exercise; DPA review.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Category 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questionnaire update; DPA confirmation; subprocessor review.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Category 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Bi-annual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Contractual compliance check; access scope review.</w:t>
            </w:r>
          </w:p>
        </w:tc>
      </w:tr>
    </w:tbl>
    <w:p>
      <w:r>
        <w:t xml:space="preserve"/>
      </w:r>
    </w:p>
    <w:p>
      <w:pPr>
        <w:pStyle w:val="Heading1"/>
        <w:spacing w:before="360" w:after="120"/>
      </w:pPr>
      <w:r>
        <w:rPr>
          <w:rFonts w:ascii="Arial" w:cs="Arial" w:eastAsia="Arial" w:hAnsi="Arial"/>
          <w:b/>
          <w:bCs/>
          <w:color w:val="1F4E79"/>
          <w:sz w:val="32"/>
          <w:szCs w:val="32"/>
        </w:rPr>
        <w:t xml:space="preserve">6. Breach and Incident Notification by Vendors</w:t>
      </w:r>
    </w:p>
    <w:p>
      <w:pPr>
        <w:spacing w:before="60" w:after="60"/>
      </w:pPr>
      <w:r>
        <w:rPr>
          <w:rFonts w:ascii="Arial" w:cs="Arial" w:eastAsia="Arial" w:hAnsi="Arial"/>
          <w:i w:val="false"/>
          <w:iCs w:val="false"/>
          <w:sz w:val="20"/>
          <w:szCs w:val="20"/>
        </w:rPr>
        <w:t xml:space="preserve">All DPAs must require vendors to notify BBK of any actual or suspected personal data breach within twenty-four (24) hours of discovery. BBK's DPO shall assess the breach and determine regulatory notification requirements in accordance with the Data Privacy &amp; Protection Policy (BBK-LGL-001).</w:t>
      </w:r>
    </w:p>
    <w:p>
      <w:r>
        <w:t xml:space="preserve"/>
      </w:r>
    </w:p>
    <w:p>
      <w:pPr>
        <w:pStyle w:val="Heading1"/>
        <w:spacing w:before="360" w:after="120"/>
      </w:pPr>
      <w:r>
        <w:rPr>
          <w:rFonts w:ascii="Arial" w:cs="Arial" w:eastAsia="Arial" w:hAnsi="Arial"/>
          <w:b/>
          <w:bCs/>
          <w:color w:val="1F4E79"/>
          <w:sz w:val="32"/>
          <w:szCs w:val="32"/>
        </w:rPr>
        <w:t xml:space="preserve">7. Vendor Termination</w:t>
      </w:r>
    </w:p>
    <w:p>
      <w:pPr>
        <w:spacing w:before="60" w:after="60"/>
      </w:pPr>
      <w:r>
        <w:rPr>
          <w:rFonts w:ascii="Arial" w:cs="Arial" w:eastAsia="Arial" w:hAnsi="Arial"/>
          <w:i w:val="false"/>
          <w:iCs w:val="false"/>
          <w:sz w:val="20"/>
          <w:szCs w:val="20"/>
        </w:rPr>
        <w:t xml:space="preserve">Upon termination of a vendor relationship:</w:t>
      </w:r>
    </w:p>
    <w:p>
      <w:pPr>
        <w:pStyle w:val="ListParagraph"/>
        <w:numPr>
          <w:ilvl w:val="0"/>
          <w:numId w:val="2"/>
        </w:numPr>
        <w:spacing w:before="40" w:after="40"/>
      </w:pPr>
      <w:r>
        <w:rPr>
          <w:rFonts w:ascii="Arial" w:cs="Arial" w:eastAsia="Arial" w:hAnsi="Arial"/>
          <w:sz w:val="20"/>
          <w:szCs w:val="20"/>
        </w:rPr>
        <w:t xml:space="preserve">All BBK personal data must be returned to BBK or securely destroyed within thirty (30) days of termination.</w:t>
      </w:r>
    </w:p>
    <w:p>
      <w:pPr>
        <w:pStyle w:val="ListParagraph"/>
        <w:numPr>
          <w:ilvl w:val="0"/>
          <w:numId w:val="2"/>
        </w:numPr>
        <w:spacing w:before="40" w:after="40"/>
      </w:pPr>
      <w:r>
        <w:rPr>
          <w:rFonts w:ascii="Arial" w:cs="Arial" w:eastAsia="Arial" w:hAnsi="Arial"/>
          <w:sz w:val="20"/>
          <w:szCs w:val="20"/>
        </w:rPr>
        <w:t xml:space="preserve">Written confirmation of data destruction, including the method used, must be provided.</w:t>
      </w:r>
    </w:p>
    <w:p>
      <w:pPr>
        <w:pStyle w:val="ListParagraph"/>
        <w:numPr>
          <w:ilvl w:val="0"/>
          <w:numId w:val="2"/>
        </w:numPr>
        <w:spacing w:before="40" w:after="40"/>
      </w:pPr>
      <w:r>
        <w:rPr>
          <w:rFonts w:ascii="Arial" w:cs="Arial" w:eastAsia="Arial" w:hAnsi="Arial"/>
          <w:sz w:val="20"/>
          <w:szCs w:val="20"/>
        </w:rPr>
        <w:t xml:space="preserve">Access credentials to BBK systems must be revoked on the effective date of termination.</w:t>
      </w:r>
    </w:p>
    <w:p>
      <w:pPr>
        <w:pStyle w:val="ListParagraph"/>
        <w:numPr>
          <w:ilvl w:val="0"/>
          <w:numId w:val="2"/>
        </w:numPr>
        <w:spacing w:before="40" w:after="40"/>
      </w:pPr>
      <w:r>
        <w:rPr>
          <w:rFonts w:ascii="Arial" w:cs="Arial" w:eastAsia="Arial" w:hAnsi="Arial"/>
          <w:sz w:val="20"/>
          <w:szCs w:val="20"/>
        </w:rPr>
        <w:t xml:space="preserve">Any physical media containing BBK data must be returned or certified destroyed.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2026-03-26T06:33:16.235Z</dcterms:created>
  <dcterms:modified xsi:type="dcterms:W3CDTF">2026-03-26T06:33:16.235Z</dcterms:modified>
</cp:coreProperties>
</file>

<file path=docProps/custom.xml><?xml version="1.0" encoding="utf-8"?>
<Properties xmlns="http://schemas.openxmlformats.org/officeDocument/2006/custom-properties" xmlns:vt="http://schemas.openxmlformats.org/officeDocument/2006/docPropsVTypes"/>
</file>