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400"/>
        <w:jc w:val="center"/>
      </w:pPr>
      <w:r>
        <w:rPr>
          <w:rFonts w:ascii="Arial" w:cs="Arial" w:eastAsia="Arial" w:hAnsi="Arial"/>
          <w:color w:val="555555"/>
          <w:sz w:val="24"/>
          <w:szCs w:val="24"/>
        </w:rPr>
        <w:t xml:space="preserve">Bank of Bahrain and Kuwait</w:t>
      </w:r>
    </w:p>
    <w:p>
      <w:pPr>
        <w:pBdr>
          <w:bottom w:val="single" w:color="2E75B6" w:sz="6" w:space="1"/>
        </w:pBdr>
        <w:spacing w:before="120" w:after="120"/>
      </w:pPr>
      <w:r>
        <w:t xml:space="preserve"/>
      </w:r>
    </w:p>
    <w:p>
      <w:pPr>
        <w:spacing w:before="400" w:after="120"/>
        <w:jc w:val="center"/>
      </w:pPr>
      <w:r>
        <w:rPr>
          <w:rFonts w:ascii="Arial" w:cs="Arial" w:eastAsia="Arial" w:hAnsi="Arial"/>
          <w:b/>
          <w:bCs/>
          <w:color w:val="1A1A1A"/>
          <w:sz w:val="38"/>
          <w:szCs w:val="38"/>
        </w:rPr>
        <w:t xml:space="preserve">Data Retention &amp; Records Disposal Policy</w:t>
      </w:r>
    </w:p>
    <w:p>
      <w:pPr>
        <w:spacing w:before="0" w:after="600"/>
        <w:jc w:val="center"/>
      </w:pPr>
      <w:r>
        <w:rPr>
          <w:rFonts w:ascii="Arial" w:cs="Arial" w:eastAsia="Arial" w:hAnsi="Arial"/>
          <w:i/>
          <w:iCs/>
          <w:color w:val="888888"/>
          <w:sz w:val="20"/>
          <w:szCs w:val="20"/>
        </w:rPr>
        <w:t xml:space="preserve">Internal Policy Document — Confidential</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BBK-RET-005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2017</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Operations Division</w:t>
            </w:r>
          </w:p>
        </w:tc>
      </w:tr>
    </w:tbl>
    <w:p>
      <w:pPr>
        <w:pageBreakBefore/>
      </w:pPr>
      <w:r>
        <w:t xml:space="preserve"/>
      </w:r>
    </w:p>
    <w:p>
      <w:pPr>
        <w:spacing w:before="40" w:after="40"/>
      </w:pPr>
      <w:r>
        <w:rPr>
          <w:rFonts w:ascii="Arial" w:cs="Arial" w:eastAsia="Arial" w:hAnsi="Arial"/>
          <w:i/>
          <w:iCs/>
          <w:color w:val="AAAAAA"/>
          <w:sz w:val="18"/>
          <w:szCs w:val="18"/>
        </w:rPr>
        <w:t xml:space="preserve">Last reviewed: April 2019. Next review due: April 2021. [OVERDUE]</w:t>
      </w:r>
    </w:p>
    <w:p>
      <w:r>
        <w:t xml:space="preserve"/>
      </w:r>
    </w:p>
    <w:p>
      <w:pPr>
        <w:pStyle w:val="Heading1"/>
        <w:spacing w:before="360" w:after="120"/>
      </w:pPr>
      <w:r>
        <w:rPr>
          <w:rFonts w:ascii="Arial" w:cs="Arial" w:eastAsia="Arial" w:hAnsi="Arial"/>
          <w:b/>
          <w:bCs/>
          <w:color w:val="1F4E79"/>
          <w:sz w:val="32"/>
          <w:szCs w:val="32"/>
        </w:rPr>
        <w:t xml:space="preserve">1. Purpose</w:t>
      </w:r>
    </w:p>
    <w:p>
      <w:pPr>
        <w:spacing w:before="60" w:after="60"/>
      </w:pPr>
      <w:r>
        <w:rPr>
          <w:rFonts w:ascii="Arial" w:cs="Arial" w:eastAsia="Arial" w:hAnsi="Arial"/>
          <w:sz w:val="20"/>
          <w:szCs w:val="20"/>
        </w:rPr>
        <w:t xml:space="preserve">This policy sets out BBK's requirements for retaining and disposing of records in accordance with applicable laws and regulatory obligations. It applies to all BBK entities and branches across the Gulf region.</w:t>
      </w:r>
    </w:p>
    <w:p>
      <w:r>
        <w:t xml:space="preserve"/>
      </w:r>
    </w:p>
    <w:p>
      <w:pPr>
        <w:pStyle w:val="Heading1"/>
        <w:spacing w:before="360" w:after="120"/>
      </w:pPr>
      <w:r>
        <w:rPr>
          <w:rFonts w:ascii="Arial" w:cs="Arial" w:eastAsia="Arial" w:hAnsi="Arial"/>
          <w:b/>
          <w:bCs/>
          <w:color w:val="1F4E79"/>
          <w:sz w:val="32"/>
          <w:szCs w:val="32"/>
        </w:rPr>
        <w:t xml:space="preserve">2. Regulatory Basis</w:t>
      </w:r>
    </w:p>
    <w:p>
      <w:pPr>
        <w:spacing w:before="60" w:after="60"/>
      </w:pPr>
      <w:r>
        <w:rPr>
          <w:rFonts w:ascii="Arial" w:cs="Arial" w:eastAsia="Arial" w:hAnsi="Arial"/>
          <w:sz w:val="20"/>
          <w:szCs w:val="20"/>
        </w:rPr>
        <w:t xml:space="preserve">This policy has been prepared in compliance with the following regulations:</w:t>
      </w:r>
    </w:p>
    <w:p>
      <w:pPr>
        <w:pStyle w:val="ListParagraph"/>
        <w:numPr>
          <w:ilvl w:val="0"/>
          <w:numId w:val="2"/>
        </w:numPr>
        <w:spacing w:before="40" w:after="40"/>
      </w:pPr>
      <w:r>
        <w:rPr>
          <w:rFonts w:ascii="Arial" w:cs="Arial" w:eastAsia="Arial" w:hAnsi="Arial"/>
          <w:sz w:val="20"/>
          <w:szCs w:val="20"/>
        </w:rPr>
        <w:t xml:space="preserve">Gulf Data Protection Directive 2014 (GCC Framework)</w:t>
      </w:r>
    </w:p>
    <w:p>
      <w:pPr>
        <w:pStyle w:val="ListParagraph"/>
        <w:numPr>
          <w:ilvl w:val="0"/>
          <w:numId w:val="2"/>
        </w:numPr>
        <w:spacing w:before="40" w:after="40"/>
      </w:pPr>
      <w:r>
        <w:rPr>
          <w:rFonts w:ascii="Arial" w:cs="Arial" w:eastAsia="Arial" w:hAnsi="Arial"/>
          <w:sz w:val="20"/>
          <w:szCs w:val="20"/>
        </w:rPr>
        <w:t xml:space="preserve">Bahrain Ministry of Commerce Circular No. 7/2012 — Electronic Records Retention</w:t>
      </w:r>
    </w:p>
    <w:p>
      <w:pPr>
        <w:pStyle w:val="ListParagraph"/>
        <w:numPr>
          <w:ilvl w:val="0"/>
          <w:numId w:val="2"/>
        </w:numPr>
        <w:spacing w:before="40" w:after="40"/>
      </w:pPr>
      <w:r>
        <w:rPr>
          <w:rFonts w:ascii="Arial" w:cs="Arial" w:eastAsia="Arial" w:hAnsi="Arial"/>
          <w:sz w:val="20"/>
          <w:szCs w:val="20"/>
        </w:rPr>
        <w:t xml:space="preserve">Central Bank of Bahrain Rulebook (2015 Edition)</w:t>
      </w:r>
    </w:p>
    <w:p>
      <w:pPr>
        <w:pStyle w:val="ListParagraph"/>
        <w:numPr>
          <w:ilvl w:val="0"/>
          <w:numId w:val="2"/>
        </w:numPr>
        <w:spacing w:before="40" w:after="40"/>
      </w:pPr>
      <w:r>
        <w:rPr>
          <w:rFonts w:ascii="Arial" w:cs="Arial" w:eastAsia="Arial" w:hAnsi="Arial"/>
          <w:sz w:val="20"/>
          <w:szCs w:val="20"/>
        </w:rPr>
        <w:t xml:space="preserve">Kuwait Law No. 35 of 1992 — Commercial Companies Law</w:t>
      </w:r>
    </w:p>
    <w:p>
      <w:pPr>
        <w:pStyle w:val="ListParagraph"/>
        <w:numPr>
          <w:ilvl w:val="0"/>
          <w:numId w:val="2"/>
        </w:numPr>
        <w:spacing w:before="40" w:after="40"/>
      </w:pPr>
      <w:r>
        <w:rPr>
          <w:rFonts w:ascii="Arial" w:cs="Arial" w:eastAsia="Arial" w:hAnsi="Arial"/>
          <w:sz w:val="20"/>
          <w:szCs w:val="20"/>
        </w:rPr>
        <w:t xml:space="preserve">Central Bank of Kuwait Regulations (2014)</w:t>
      </w:r>
    </w:p>
    <w:p>
      <w:pPr>
        <w:spacing w:before="60" w:after="60"/>
      </w:pPr>
      <w:r>
        <w:rPr>
          <w:rFonts w:ascii="Arial" w:cs="Arial" w:eastAsia="Arial" w:hAnsi="Arial"/>
          <w:sz w:val="20"/>
          <w:szCs w:val="20"/>
        </w:rPr>
        <w:t xml:space="preserve">Note: This policy will be updated to reflect any future changes to regional data protection legislation as and when enacted.</w:t>
      </w:r>
    </w:p>
    <w:p>
      <w:r>
        <w:t xml:space="preserve"/>
      </w:r>
    </w:p>
    <w:p>
      <w:pPr>
        <w:pStyle w:val="Heading1"/>
        <w:spacing w:before="360" w:after="120"/>
      </w:pPr>
      <w:r>
        <w:rPr>
          <w:rFonts w:ascii="Arial" w:cs="Arial" w:eastAsia="Arial" w:hAnsi="Arial"/>
          <w:b/>
          <w:bCs/>
          <w:color w:val="1F4E79"/>
          <w:sz w:val="32"/>
          <w:szCs w:val="32"/>
        </w:rPr>
        <w:t xml:space="preserve">3. Retention Schedule</w:t>
      </w:r>
    </w:p>
    <w:p>
      <w:pPr>
        <w:spacing w:before="60" w:after="60"/>
      </w:pPr>
      <w:r>
        <w:rPr>
          <w:rFonts w:ascii="Arial" w:cs="Arial" w:eastAsia="Arial" w:hAnsi="Arial"/>
          <w:sz w:val="20"/>
          <w:szCs w:val="20"/>
        </w:rPr>
        <w:t xml:space="preserve">The following minimum retention periods apply across all BBK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Record Type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Retention Period</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Applicable Regulation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Customer KYC / ID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years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CBB Rulebook 2015; Gulf DP Directive 2014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Transaction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years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Gulf DP Directive 2014; CBK Regulations 2014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Loan &amp; Credit 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years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CBB Rulebook 2015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Customer Complaints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years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Policy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Employee HR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years post-employment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Labour Law (General)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Suspicious Activity Reports (SARs)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years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Compliance Guidance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CCTV / Security Footage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Security SOP</w:t>
            </w:r>
          </w:p>
        </w:tc>
      </w:tr>
    </w:tbl>
    <w:p>
      <w:r>
        <w:t xml:space="preserve"/>
      </w:r>
    </w:p>
    <w:p>
      <w:pPr>
        <w:pStyle w:val="Heading1"/>
        <w:spacing w:before="360" w:after="120"/>
      </w:pPr>
      <w:r>
        <w:rPr>
          <w:rFonts w:ascii="Arial" w:cs="Arial" w:eastAsia="Arial" w:hAnsi="Arial"/>
          <w:b/>
          <w:bCs/>
          <w:color w:val="1F4E79"/>
          <w:sz w:val="32"/>
          <w:szCs w:val="32"/>
        </w:rPr>
        <w:t xml:space="preserve">4. Disposal Procedures</w:t>
      </w:r>
    </w:p>
    <w:p>
      <w:pPr>
        <w:spacing w:before="60" w:after="60"/>
      </w:pPr>
      <w:r>
        <w:rPr>
          <w:rFonts w:ascii="Arial" w:cs="Arial" w:eastAsia="Arial" w:hAnsi="Arial"/>
          <w:sz w:val="20"/>
          <w:szCs w:val="20"/>
        </w:rPr>
        <w:t xml:space="preserve">Records that have reached the end of their retention period should be disposed of in an appropriate manner. Physical documents should be shredded or otherwise destroyed. Electronic records should be deleted from all systems.</w:t>
      </w:r>
    </w:p>
    <w:p>
      <w:pPr>
        <w:spacing w:before="60" w:after="60"/>
      </w:pPr>
      <w:r>
        <w:rPr>
          <w:rFonts w:ascii="Arial" w:cs="Arial" w:eastAsia="Arial" w:hAnsi="Arial"/>
          <w:sz w:val="20"/>
          <w:szCs w:val="20"/>
        </w:rPr>
        <w:t xml:space="preserve">Department managers are responsible for ensuring records are disposed of in a timely manner. Disposal should be noted in the department log where applicable.</w:t>
      </w:r>
    </w:p>
    <w:p>
      <w:r>
        <w:t xml:space="preserve"/>
      </w:r>
    </w:p>
    <w:p>
      <w:pPr>
        <w:pStyle w:val="Heading1"/>
        <w:spacing w:before="360" w:after="120"/>
      </w:pPr>
      <w:r>
        <w:rPr>
          <w:rFonts w:ascii="Arial" w:cs="Arial" w:eastAsia="Arial" w:hAnsi="Arial"/>
          <w:b/>
          <w:bCs/>
          <w:color w:val="1F4E79"/>
          <w:sz w:val="32"/>
          <w:szCs w:val="32"/>
        </w:rPr>
        <w:t xml:space="preserve">5. Legal Hold</w:t>
      </w:r>
    </w:p>
    <w:p>
      <w:pPr>
        <w:spacing w:before="60" w:after="60"/>
      </w:pPr>
      <w:r>
        <w:rPr>
          <w:rFonts w:ascii="Arial" w:cs="Arial" w:eastAsia="Arial" w:hAnsi="Arial"/>
          <w:sz w:val="20"/>
          <w:szCs w:val="20"/>
        </w:rPr>
        <w:t xml:space="preserve">Where records are subject to litigation or regulatory investigation, normal disposal schedules are suspended. The Legal Division will notify affected departments of any legal hold.</w:t>
      </w:r>
    </w:p>
    <w:p>
      <w:r>
        <w:t xml:space="preserve"/>
      </w:r>
    </w:p>
    <w:p>
      <w:pPr>
        <w:pStyle w:val="Heading1"/>
        <w:spacing w:before="360" w:after="120"/>
      </w:pPr>
      <w:r>
        <w:rPr>
          <w:rFonts w:ascii="Arial" w:cs="Arial" w:eastAsia="Arial" w:hAnsi="Arial"/>
          <w:b/>
          <w:bCs/>
          <w:color w:val="1F4E79"/>
          <w:sz w:val="32"/>
          <w:szCs w:val="32"/>
        </w:rPr>
        <w:t xml:space="preserve">6. Responsibilities</w:t>
      </w:r>
    </w:p>
    <w:p>
      <w:pPr>
        <w:spacing w:before="60" w:after="60"/>
      </w:pPr>
      <w:r>
        <w:rPr>
          <w:rFonts w:ascii="Arial" w:cs="Arial" w:eastAsia="Arial" w:hAnsi="Arial"/>
          <w:sz w:val="20"/>
          <w:szCs w:val="20"/>
        </w:rPr>
        <w:t xml:space="preserve">It is the responsibility of each department head to ensure compliance with this policy within their area. Questions regarding retention requirements should be directed to the Operations Division.</w:t>
      </w:r>
    </w:p>
    <w:p>
      <w:r>
        <w:t xml:space="preserve"/>
      </w:r>
    </w:p>
    <w:p>
      <w:pPr>
        <w:pStyle w:val="Heading1"/>
        <w:spacing w:before="360" w:after="120"/>
      </w:pPr>
      <w:r>
        <w:rPr>
          <w:rFonts w:ascii="Arial" w:cs="Arial" w:eastAsia="Arial" w:hAnsi="Arial"/>
          <w:b/>
          <w:bCs/>
          <w:color w:val="1F4E79"/>
          <w:sz w:val="32"/>
          <w:szCs w:val="32"/>
        </w:rPr>
        <w:t xml:space="preserve">7. Review</w:t>
      </w:r>
    </w:p>
    <w:p>
      <w:pPr>
        <w:spacing w:before="60" w:after="60"/>
      </w:pPr>
      <w:r>
        <w:rPr>
          <w:rFonts w:ascii="Arial" w:cs="Arial" w:eastAsia="Arial" w:hAnsi="Arial"/>
          <w:sz w:val="20"/>
          <w:szCs w:val="20"/>
        </w:rPr>
        <w:t xml:space="preserve">This policy will be reviewed every two years or as required by changes in law or regulation.</w:t>
      </w:r>
    </w:p>
    <w:p>
      <w:pPr>
        <w:spacing w:before="40" w:after="40"/>
      </w:pPr>
      <w:r>
        <w:rPr>
          <w:rFonts w:ascii="Arial" w:cs="Arial" w:eastAsia="Arial" w:hAnsi="Arial"/>
          <w:i/>
          <w:iCs/>
          <w:color w:val="AAAAAA"/>
          <w:sz w:val="18"/>
          <w:szCs w:val="18"/>
        </w:rPr>
        <w:t xml:space="preserve">v1.0 — Original author: Operations Team. No formal legal review on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2026-03-26T07:04:24.526Z</dcterms:created>
  <dcterms:modified xsi:type="dcterms:W3CDTF">2026-03-26T07:04:24.527Z</dcterms:modified>
</cp:coreProperties>
</file>

<file path=docProps/custom.xml><?xml version="1.0" encoding="utf-8"?>
<Properties xmlns="http://schemas.openxmlformats.org/officeDocument/2006/custom-properties" xmlns:vt="http://schemas.openxmlformats.org/officeDocument/2006/docPropsVTypes"/>
</file>