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MIT</w:t>
      </w:r>
      <w:r>
        <w:t xml:space="preserve"> </w:t>
      </w:r>
      <w:r>
        <w:t xml:space="preserve">8103</w:t>
      </w:r>
      <w:r>
        <w:t xml:space="preserve"> </w:t>
      </w:r>
      <w:r>
        <w:t xml:space="preserve">Advanced</w:t>
      </w:r>
      <w:r>
        <w:t xml:space="preserve"> </w:t>
      </w:r>
      <w:r>
        <w:t xml:space="preserve">Database</w:t>
      </w:r>
      <w:r>
        <w:t xml:space="preserve"> </w:t>
      </w:r>
      <w:r>
        <w:t xml:space="preserve">Systems</w:t>
      </w:r>
      <w:r>
        <w:t xml:space="preserve"> </w:t>
      </w:r>
      <w:r>
        <w:t xml:space="preserve">-</w:t>
      </w:r>
      <w:r>
        <w:t xml:space="preserve"> </w:t>
      </w:r>
      <w:r>
        <w:t xml:space="preserve">Portfolio</w:t>
      </w:r>
      <w:r>
        <w:t xml:space="preserve"> </w:t>
      </w:r>
      <w:r>
        <w:t xml:space="preserve">Documentation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Zainab Abubakar Bakabe</w:t>
      </w:r>
      <w:r>
        <w:t xml:space="preserve"> </w:t>
      </w:r>
      <w:r>
        <w:rPr>
          <w:bCs/>
          <w:b/>
        </w:rPr>
        <w:t xml:space="preserve">Matric No.:</w:t>
      </w:r>
      <w:r>
        <w:t xml:space="preserve"> </w:t>
      </w:r>
      <w:r>
        <w:t xml:space="preserve">2026/A/MIT/0791</w:t>
      </w:r>
      <w:r>
        <w:t xml:space="preserve"> </w:t>
      </w:r>
      <w:r>
        <w:rPr>
          <w:bCs/>
          <w:b/>
        </w:rPr>
        <w:t xml:space="preserve">Student ID:</w:t>
      </w:r>
      <w:r>
        <w:t xml:space="preserve"> </w:t>
      </w:r>
      <w:r>
        <w:t xml:space="preserve">301929341</w:t>
      </w:r>
      <w:r>
        <w:t xml:space="preserve"> </w:t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https://github.com/zainababubakarbakabe-alt/advanced-database-portfolio (private; assessor added as collaborator)</w:t>
      </w:r>
    </w:p>
    <w:bookmarkStart w:id="20" w:name="selected-organisation"/>
    <w:p>
      <w:pPr>
        <w:pStyle w:val="Heading1"/>
      </w:pPr>
      <w:r>
        <w:t xml:space="preserve">1. Selected organisation</w:t>
      </w:r>
    </w:p>
    <w:p>
      <w:pPr>
        <w:pStyle w:val="FirstParagraph"/>
      </w:pPr>
      <w:r>
        <w:rPr>
          <w:bCs/>
          <w:b/>
        </w:rPr>
        <w:t xml:space="preserve">NaijaCart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simulated</w:t>
      </w:r>
      <w:r>
        <w:t xml:space="preserve"> </w:t>
      </w:r>
      <w:r>
        <w:t xml:space="preserve">Nigerian multi-seller e-commerce marketplace.</w:t>
      </w:r>
      <w:r>
        <w:t xml:space="preserve"> </w:t>
      </w:r>
      <w:r>
        <w:rPr>
          <w:bCs/>
          <w:b/>
        </w:rPr>
        <w:t xml:space="preserve">Users of the database:</w:t>
      </w:r>
      <w:r>
        <w:t xml:space="preserve"> </w:t>
      </w:r>
      <w:r>
        <w:t xml:space="preserve">customers, sellers, dispatch staff, finance staff and analysts.</w:t>
      </w:r>
      <w:r>
        <w:t xml:space="preserve"> </w:t>
      </w:r>
      <w:r>
        <w:rPr>
          <w:bCs/>
          <w:b/>
        </w:rPr>
        <w:t xml:space="preserve">Major data:</w:t>
      </w:r>
      <w:r>
        <w:t xml:space="preserve"> </w:t>
      </w:r>
      <w:r>
        <w:t xml:space="preserve">customers and addresses, sellers, a category tree, products and stock, orders and order items, payments (card, transfer, USSD, wallet), deliveries and reviews.</w:t>
      </w:r>
      <w:r>
        <w:t xml:space="preserve"> </w:t>
      </w:r>
      <w:r>
        <w:rPr>
          <w:bCs/>
          <w:b/>
        </w:rPr>
        <w:t xml:space="preserve">Key operations:</w:t>
      </w:r>
      <w:r>
        <w:t xml:space="preserve"> </w:t>
      </w:r>
      <w:r>
        <w:t xml:space="preserve">browse the catalogue, place an order and reduce stock, take payment, track delivery, review products, report sales. Test data: 50,000 customers, 20,000 products, 200,000 orders and 600,000 order items, generated with a fixed seed so every run is identical. The same case study runs through all five portfolios on PostgreSQL 16 and Redis 7;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rebuilds everything in about two minutes.</w:t>
      </w:r>
    </w:p>
    <w:bookmarkEnd w:id="20"/>
    <w:bookmarkStart w:id="24" w:name="Xc843fc10e37b9331b78ee2d2373f0f6e2c342de"/>
    <w:p>
      <w:pPr>
        <w:pStyle w:val="Heading1"/>
      </w:pPr>
      <w:r>
        <w:t xml:space="preserve">2. Portfolio 1 - Database design and modelling</w:t>
      </w:r>
    </w:p>
    <w:p>
      <w:pPr>
        <w:pStyle w:val="FirstParagraph"/>
      </w:pPr>
      <w:r>
        <w:t xml:space="preserve">The 11-table schema is in</w:t>
      </w:r>
      <w:r>
        <w:t xml:space="preserve"> </w:t>
      </w:r>
      <w:r>
        <w:rPr>
          <w:bCs/>
          <w:b/>
        </w:rPr>
        <w:t xml:space="preserve">BCNF</w:t>
      </w:r>
      <w:r>
        <w:t xml:space="preserve">: every functional dependency’s determinant is a candidate key (listed in the README). Normalising a spreadsheet-style order sheet turned repeating product columns into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 </w:t>
      </w:r>
      <w:r>
        <w:t xml:space="preserve">rows (1NF), moved product facts out of the composite-key table (2NF) and moved customer, seller and category facts into their own tables (3NF). Business rules are enforced by the database, not just the application:</w:t>
      </w:r>
      <w:r>
        <w:t xml:space="preserve"> </w:t>
      </w:r>
      <w:r>
        <w:rPr>
          <w:rStyle w:val="VerbatimChar"/>
        </w:rPr>
        <w:t xml:space="preserve">CHECK (stock_qty &gt;= 0)</w:t>
      </w:r>
      <w:r>
        <w:t xml:space="preserve">, positive prices and quantities, status lists, one payment and one delivery per order, and one review per customer per product.</w:t>
      </w:r>
      <w:r>
        <w:t xml:space="preserve"> </w:t>
      </w:r>
      <w:r>
        <w:rPr>
          <w:rStyle w:val="VerbatimChar"/>
        </w:rPr>
        <w:t xml:space="preserve">order_item.unit_price</w:t>
      </w:r>
      <w:r>
        <w:t xml:space="preserve"> </w:t>
      </w:r>
      <w:r>
        <w:t xml:space="preserve">is a deliberate denormalisation that preserves the price paid. Four roles implement least privilege; an analyst login could read 600,000 rows through an anonymised view but was refused access to customer emails and could not delete orders (NDPA 2023 data minimisation).</w:t>
      </w:r>
    </w:p>
    <w:p>
      <w:pPr>
        <w:pStyle w:val="CaptionedFigure"/>
      </w:pPr>
      <w:r>
        <w:drawing>
          <wp:inline>
            <wp:extent cx="4907280" cy="2326157"/>
            <wp:effectExtent b="0" l="0" r="0" t="0"/>
            <wp:docPr descr="NaijaCart ER diagram (crow’s foot notation)" title="" id="22" name="Picture"/>
            <a:graphic>
              <a:graphicData uri="http://schemas.openxmlformats.org/drawingml/2006/picture">
                <pic:pic>
                  <pic:nvPicPr>
                    <pic:cNvPr descr="portfolio-1-database-design/diagrams/er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326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NaijaCart ER diagram (crow’s foot notation)</w:t>
      </w:r>
    </w:p>
    <w:bookmarkEnd w:id="24"/>
    <w:bookmarkStart w:id="28" w:name="X23e27e7fc659b0bc1bff71b3642b3e9b772f2b1"/>
    <w:p>
      <w:pPr>
        <w:pStyle w:val="Heading1"/>
      </w:pPr>
      <w:r>
        <w:t xml:space="preserve">3. Portfolio 2 - Query processing and optimisation</w:t>
      </w:r>
    </w:p>
    <w:p>
      <w:pPr>
        <w:pStyle w:val="FirstParagraph"/>
      </w:pPr>
      <w:r>
        <w:t xml:space="preserve">Seven queries (joins, CTEs, a window function, aggregations) were measured with</w:t>
      </w:r>
      <w:r>
        <w:t xml:space="preserve"> </w:t>
      </w:r>
      <w:r>
        <w:rPr>
          <w:rStyle w:val="VerbatimChar"/>
        </w:rPr>
        <w:t xml:space="preserve">EXPLAIN (ANALYZE, BUFFERS)</w:t>
      </w:r>
      <w:r>
        <w:t xml:space="preserve"> </w:t>
      </w:r>
      <w:r>
        <w:t xml:space="preserve">and timed as the</w:t>
      </w:r>
      <w:r>
        <w:t xml:space="preserve"> </w:t>
      </w:r>
      <w:r>
        <w:rPr>
          <w:bCs/>
          <w:b/>
        </w:rPr>
        <w:t xml:space="preserve">median of five runs</w:t>
      </w:r>
      <w:r>
        <w:t xml:space="preserve">, before and after optimisation. Indexes chosen from the plans gave large gains only on</w:t>
      </w:r>
      <w:r>
        <w:t xml:space="preserve"> </w:t>
      </w:r>
      <w:r>
        <w:rPr>
          <w:bCs/>
          <w:b/>
        </w:rPr>
        <w:t xml:space="preserve">selective</w:t>
      </w:r>
      <w:r>
        <w:t xml:space="preserve"> </w:t>
      </w:r>
      <w:r>
        <w:t xml:space="preserve">queries: customer order history</w:t>
      </w:r>
      <w:r>
        <w:t xml:space="preserve"> </w:t>
      </w:r>
      <w:r>
        <w:rPr>
          <w:bCs/>
          <w:b/>
        </w:rPr>
        <w:t xml:space="preserve">12.0 to 0.31 ms (38.6x)</w:t>
      </w:r>
      <w:r>
        <w:t xml:space="preserve">, replacing a sequential scan of 200,000 rows with an index scan; low-stock alert 1.35 to 0.26 ms (5.1x) with a covering index. Full-scan analytics did not improve with indexes, so other techniques were tested: a</w:t>
      </w:r>
      <w:r>
        <w:t xml:space="preserve"> </w:t>
      </w:r>
      <w:r>
        <w:rPr>
          <w:bCs/>
          <w:b/>
        </w:rPr>
        <w:t xml:space="preserve">materialized view</w:t>
      </w:r>
      <w:r>
        <w:t xml:space="preserve"> </w:t>
      </w:r>
      <w:r>
        <w:t xml:space="preserve">reduced the revenue report from 952 ms to 0.09 ms (at a refresh cost of 567 ms), and</w:t>
      </w:r>
      <w:r>
        <w:t xml:space="preserve"> </w:t>
      </w:r>
      <w:r>
        <w:rPr>
          <w:bCs/>
          <w:b/>
        </w:rPr>
        <w:t xml:space="preserve">parallel query</w:t>
      </w:r>
      <w:r>
        <w:t xml:space="preserve"> </w:t>
      </w:r>
      <w:r>
        <w:t xml:space="preserve">made Q3 and Q4 1.8x faster. The repeat-customer query’s plan showed an 11 MB disk sort; raising</w:t>
      </w:r>
      <w:r>
        <w:t xml:space="preserve"> </w:t>
      </w:r>
      <w:r>
        <w:rPr>
          <w:rStyle w:val="VerbatimChar"/>
        </w:rPr>
        <w:t xml:space="preserve">work_mem</w:t>
      </w:r>
      <w:r>
        <w:t xml:space="preserve"> </w:t>
      </w:r>
      <w:r>
        <w:t xml:space="preserve">moved the sort into memory but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reduce the time, proving the join, not the sort, was the bottleneck. Costs were measured too: the new indexes use 16.7 MB and made 20,000 order inserts 2.8x slower (15.3 to 42.3 ms).</w:t>
      </w:r>
    </w:p>
    <w:p>
      <w:pPr>
        <w:pStyle w:val="CaptionedFigure"/>
      </w:pPr>
      <w:r>
        <w:drawing>
          <wp:inline>
            <wp:extent cx="4160520" cy="1725093"/>
            <wp:effectExtent b="0" l="0" r="0" t="0"/>
            <wp:docPr descr="Median query times before and after optimisation (log scale)" title="" id="26" name="Picture"/>
            <a:graphic>
              <a:graphicData uri="http://schemas.openxmlformats.org/drawingml/2006/picture">
                <pic:pic>
                  <pic:nvPicPr>
                    <pic:cNvPr descr="portfolio-2-query-optimisation/results/performance_ch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72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Median query times before and after optimisation (log scale)</w:t>
      </w:r>
    </w:p>
    <w:bookmarkEnd w:id="28"/>
    <w:bookmarkStart w:id="29" w:name="Xb6514f28d22e809f7c745eecefed23dad99ac71"/>
    <w:p>
      <w:pPr>
        <w:pStyle w:val="Heading1"/>
      </w:pPr>
      <w:r>
        <w:t xml:space="preserve">4. Portfolio 3 - Transactions and concurrency</w:t>
      </w:r>
    </w:p>
    <w:p>
      <w:pPr>
        <w:pStyle w:val="FirstParagraph"/>
      </w:pPr>
      <w:r>
        <w:rPr>
          <w:rStyle w:val="VerbatimChar"/>
        </w:rPr>
        <w:t xml:space="preserve">place_order()</w:t>
      </w:r>
      <w:r>
        <w:t xml:space="preserve"> </w:t>
      </w:r>
      <w:r>
        <w:t xml:space="preserve">performs the order, stock decrement, items, payment and stock log as one atomic transaction. An order for 10 units when 3 remained violated the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and</w:t>
      </w:r>
      <w:r>
        <w:t xml:space="preserve"> </w:t>
      </w:r>
      <w:r>
        <w:rPr>
          <w:bCs/>
          <w:b/>
        </w:rPr>
        <w:t xml:space="preserve">rolled back completely</w:t>
      </w:r>
      <w:r>
        <w:t xml:space="preserve"> </w:t>
      </w:r>
      <w:r>
        <w:t xml:space="preserve">(order count unchanged); a</w:t>
      </w:r>
      <w:r>
        <w:t xml:space="preserve"> </w:t>
      </w:r>
      <w:r>
        <w:rPr>
          <w:rStyle w:val="VerbatimChar"/>
        </w:rPr>
        <w:t xml:space="preserve">SAVEPOINT</w:t>
      </w:r>
      <w:r>
        <w:t xml:space="preserve"> </w:t>
      </w:r>
      <w:r>
        <w:t xml:space="preserve">undid one of two updates. Two concurrent sessions reproduced a</w:t>
      </w:r>
      <w:r>
        <w:t xml:space="preserve"> </w:t>
      </w:r>
      <w:r>
        <w:rPr>
          <w:bCs/>
          <w:b/>
        </w:rPr>
        <w:t xml:space="preserve">lost update</w:t>
      </w:r>
      <w:r>
        <w:t xml:space="preserve">: both bought the last unit (stock oversold). Pessimistic locking (</w:t>
      </w:r>
      <w:r>
        <w:rPr>
          <w:rStyle w:val="VerbatimChar"/>
        </w:rPr>
        <w:t xml:space="preserve">FOR UPDATE</w:t>
      </w:r>
      <w:r>
        <w:t xml:space="preserve">) and an atomic conditional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each fixed it, selling exactly one unit. READ COMMITTED showed a non-repeatable read (10,000 then 12,000) that REPEATABLE READ prevented; SERIALIZABLE aborted a write-skew transaction, and a retry loop then re-ran it correctly. Opposite lock order caused</w:t>
      </w:r>
      <w:r>
        <w:t xml:space="preserve"> </w:t>
      </w:r>
      <w:r>
        <w:rPr>
          <w:rStyle w:val="VerbatimChar"/>
        </w:rPr>
        <w:t xml:space="preserve">deadlock detected</w:t>
      </w:r>
      <w:r>
        <w:t xml:space="preserve">; a consistent lock order removed it. Optimistic locking (a version column) rejected a stale admin edit, and an MVCC test showed a reader seeing the old committed price without waiting while a writer held an uncommitted change. Each technique is matched to the NaijaCart situation it suits.</w:t>
      </w:r>
    </w:p>
    <w:bookmarkEnd w:id="29"/>
    <w:bookmarkStart w:id="30" w:name="Xf7c8b8f2fd8b8b377c446e073f1c972c30e1451"/>
    <w:p>
      <w:pPr>
        <w:pStyle w:val="Heading1"/>
      </w:pPr>
      <w:r>
        <w:t xml:space="preserve">5. Portfolio 4 - NoSQL and advanced data models</w:t>
      </w:r>
    </w:p>
    <w:p>
      <w:pPr>
        <w:pStyle w:val="FirstParagraph"/>
      </w:pPr>
      <w:r>
        <w:t xml:space="preserve">Orders, payments and stock stay relational because they need ACID guarantees; other workloads use the model that fits them (polyglot persistence).</w:t>
      </w:r>
      <w:r>
        <w:t xml:space="preserve"> </w:t>
      </w:r>
      <w:r>
        <w:rPr>
          <w:bCs/>
          <w:b/>
        </w:rPr>
        <w:t xml:space="preserve">Document:</w:t>
      </w:r>
      <w:r>
        <w:t xml:space="preserve"> </w:t>
      </w:r>
      <w:r>
        <w:t xml:space="preserve">the catalogue as 20,000 JSONB documents with category-specific attributes and embedded latest reviews; a GIN index cut an attribute search from 6.2 to 0.63 ms, and loading 2,000 product pages took</w:t>
      </w:r>
      <w:r>
        <w:t xml:space="preserve"> </w:t>
      </w:r>
      <w:r>
        <w:rPr>
          <w:bCs/>
          <w:b/>
        </w:rPr>
        <w:t xml:space="preserve">24 ms as documents versus 106 ms relationally (4.4x)</w:t>
      </w:r>
      <w:r>
        <w:t xml:space="preserve">.</w:t>
      </w:r>
      <w:r>
        <w:t xml:space="preserve"> </w:t>
      </w:r>
      <w:r>
        <w:rPr>
          <w:bCs/>
          <w:b/>
        </w:rPr>
        <w:t xml:space="preserve">Key-value (Redis):</w:t>
      </w:r>
      <w:r>
        <w:t xml:space="preserve"> </w:t>
      </w:r>
      <w:r>
        <w:t xml:space="preserve">carts as hashes with a 7-day TTL, sessions with a 30-minute expiry, an atomic</w:t>
      </w:r>
      <w:r>
        <w:t xml:space="preserve"> </w:t>
      </w:r>
      <w:r>
        <w:rPr>
          <w:rStyle w:val="VerbatimChar"/>
        </w:rPr>
        <w:t xml:space="preserve">DECR</w:t>
      </w:r>
      <w:r>
        <w:t xml:space="preserve"> </w:t>
      </w:r>
      <w:r>
        <w:t xml:space="preserve">flash-sale counter (the fourth buyer for three units got -1 and was rejected) and a sorted-set best-seller board.</w:t>
      </w:r>
      <w:r>
        <w:t xml:space="preserve"> </w:t>
      </w:r>
      <w:r>
        <w:rPr>
          <w:bCs/>
          <w:b/>
        </w:rPr>
        <w:t xml:space="preserve">Graph:</w:t>
      </w:r>
      <w:r>
        <w:t xml:space="preserve"> </w:t>
      </w:r>
      <w:r>
        <w:t xml:space="preserve">a Cypher design for</w:t>
      </w:r>
      <w:r>
        <w:t xml:space="preserve"> </w:t>
      </w:r>
      <w:r>
        <w:t xml:space="preserve">“</w:t>
      </w:r>
      <w:r>
        <w:t xml:space="preserve">customers who bought this also bought</w:t>
      </w:r>
      <w:r>
        <w:t xml:space="preserve">”</w:t>
      </w:r>
      <w:r>
        <w:t xml:space="preserve">. Embedding-versus-referencing and the consistency of each store are justified in the README. The MongoDB script is provided with run instructions.</w:t>
      </w:r>
    </w:p>
    <w:bookmarkEnd w:id="30"/>
    <w:bookmarkStart w:id="31" w:name="X783fb5d291d3a206ccdf6cb63573762d3135fa6"/>
    <w:p>
      <w:pPr>
        <w:pStyle w:val="Heading1"/>
      </w:pPr>
      <w:r>
        <w:t xml:space="preserve">6. Portfolio 5 - Distributed and cloud database</w:t>
      </w:r>
    </w:p>
    <w:p>
      <w:pPr>
        <w:pStyle w:val="FirstParagraph"/>
      </w:pPr>
      <w:r>
        <w:t xml:space="preserve">A primary and a streaming hot standby were built with</w:t>
      </w:r>
      <w:r>
        <w:t xml:space="preserve"> </w:t>
      </w:r>
      <w:r>
        <w:rPr>
          <w:rStyle w:val="VerbatimChar"/>
        </w:rPr>
        <w:t xml:space="preserve">pg_basebackup</w:t>
      </w:r>
      <w:r>
        <w:t xml:space="preserve">. Asynchronous replication applied writes in about 0.1 s and the replica rejected writes. Switching to</w:t>
      </w:r>
      <w:r>
        <w:t xml:space="preserve"> </w:t>
      </w:r>
      <w:r>
        <w:rPr>
          <w:bCs/>
          <w:b/>
        </w:rPr>
        <w:t xml:space="preserve">synchronous</w:t>
      </w:r>
      <w:r>
        <w:t xml:space="preserve"> </w:t>
      </w:r>
      <w:r>
        <w:t xml:space="preserve">replication and stopping the standby</w:t>
      </w:r>
      <w:r>
        <w:t xml:space="preserve"> </w:t>
      </w:r>
      <w:r>
        <w:rPr>
          <w:bCs/>
          <w:b/>
        </w:rPr>
        <w:t xml:space="preserve">blocked the next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wait_event = SyncRep</w:t>
      </w:r>
      <w:r>
        <w:t xml:space="preserve">), demonstrating CAP’s choice of consistency over availability; the primary was then crashed and the replica</w:t>
      </w:r>
      <w:r>
        <w:t xml:space="preserve"> </w:t>
      </w:r>
      <w:r>
        <w:rPr>
          <w:bCs/>
          <w:b/>
        </w:rPr>
        <w:t xml:space="preserve">promoted</w:t>
      </w:r>
      <w:r>
        <w:t xml:space="preserve">, and service continued. Orders were</w:t>
      </w:r>
      <w:r>
        <w:t xml:space="preserve"> </w:t>
      </w:r>
      <w:r>
        <w:rPr>
          <w:bCs/>
          <w:b/>
        </w:rPr>
        <w:t xml:space="preserve">hash-sharded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across two nodes with</w:t>
      </w:r>
      <w:r>
        <w:t xml:space="preserve"> </w:t>
      </w:r>
      <w:r>
        <w:rPr>
          <w:rStyle w:val="VerbatimChar"/>
        </w:rPr>
        <w:t xml:space="preserve">postgres_fdw</w:t>
      </w:r>
      <w:r>
        <w:t xml:space="preserve"> </w:t>
      </w:r>
      <w:r>
        <w:t xml:space="preserve">(10,098 and 9,902 rows); a per-customer query was pruned to one shard, while a global report had to scan both. The cloud design uses synchronous commit to any one of two standbys for payments, asynchronous replicas for browsing and reports, managed Redis, point-in-time recovery, and data kept in Nigeria where possible to simplify NDPA cross-border rules.</w:t>
      </w:r>
    </w:p>
    <w:bookmarkEnd w:id="31"/>
    <w:bookmarkStart w:id="32" w:name="individual-technical-reflection"/>
    <w:p>
      <w:pPr>
        <w:pStyle w:val="Heading1"/>
      </w:pPr>
      <w:r>
        <w:t xml:space="preserve">7. Individual technical reflection</w:t>
      </w:r>
    </w:p>
    <w:p>
      <w:pPr>
        <w:pStyle w:val="FirstParagraph"/>
      </w:pPr>
      <w:r>
        <w:t xml:space="preserve">The biggest lesson was that</w:t>
      </w:r>
      <w:r>
        <w:t xml:space="preserve"> </w:t>
      </w:r>
      <w:r>
        <w:rPr>
          <w:bCs/>
          <w:b/>
        </w:rPr>
        <w:t xml:space="preserve">measurement beats assumption</w:t>
      </w:r>
      <w:r>
        <w:t xml:space="preserve">. I expected indexes to speed up every slow query, but the plans showed they only help selective lookups: order history became 38.6x faster while the revenue report did not change, because it needs almost every row. The same lesson came from the repeat-customer query, whose plan showed an 11 MB disk sort; when I gave it enough memory the sort moved into RAM but the query was no faster, so the real bottleneck was the join. A diagnosis is only a hypothesis until it is tested.</w:t>
      </w:r>
    </w:p>
    <w:p>
      <w:pPr>
        <w:pStyle w:val="BodyText"/>
      </w:pPr>
      <w:r>
        <w:t xml:space="preserve">Concurrency bugs were the hardest to see. With one session, the read-then-write stock update looked correct; it only oversold when two sessions ran at the same moment, which I had to force with deliberate delays. I also learnt that SERIALIZABLE is only safe with a retry loop, and that a synchronous commit cannot be stopped by</w:t>
      </w:r>
      <w:r>
        <w:t xml:space="preserve"> </w:t>
      </w:r>
      <w:r>
        <w:rPr>
          <w:rStyle w:val="VerbatimChar"/>
        </w:rPr>
        <w:t xml:space="preserve">statement_timeout</w:t>
      </w:r>
      <w:r>
        <w:t xml:space="preserve"> </w:t>
      </w:r>
      <w:r>
        <w:t xml:space="preserve">- my first test hung until I cancelled the waiting session explicitly.</w:t>
      </w:r>
    </w:p>
    <w:p>
      <w:pPr>
        <w:pStyle w:val="BodyText"/>
      </w:pPr>
      <w:r>
        <w:t xml:space="preserve">I also found errors in my own work. My first phone data never contained a 128 GB model because of a modulo pattern, so a correct query returned zero rows. A benchmark loop called</w:t>
      </w:r>
      <w:r>
        <w:t xml:space="preserve"> </w:t>
      </w:r>
      <w:r>
        <w:rPr>
          <w:rStyle w:val="VerbatimChar"/>
        </w:rPr>
        <w:t xml:space="preserve">random()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which forced full table scans and made the document model look slower than it was. A shell-quoting mistake silently enabled parallel query and distorted a whole set of timings. Fixing these is why every result is now re-run from one script with a fixed seed. Design choices I would defend: the</w:t>
      </w:r>
      <w:r>
        <w:t xml:space="preserve"> </w:t>
      </w:r>
      <w:r>
        <w:rPr>
          <w:rStyle w:val="VerbatimChar"/>
        </w:rPr>
        <w:t xml:space="preserve">CHECK (stock_qty &gt;= 0)</w:t>
      </w:r>
      <w:r>
        <w:t xml:space="preserve"> </w:t>
      </w:r>
      <w:r>
        <w:t xml:space="preserve">constraint as the last line of defence against overselling,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as the shard key because most queries are per customer, and keeping money in ACID PostgreSQL while Redis holds only temporary data. Next, I would run the MongoDB and Neo4j designs on real servers and test on a machine with more CPUs.</w:t>
      </w:r>
    </w:p>
    <w:bookmarkEnd w:id="32"/>
    <w:bookmarkStart w:id="33" w:name="references-and-ai-use-declaration"/>
    <w:p>
      <w:pPr>
        <w:pStyle w:val="Heading1"/>
      </w:pPr>
      <w:r>
        <w:t xml:space="preserve">8. References and AI-use declaration</w:t>
      </w:r>
    </w:p>
    <w:p>
      <w:pPr>
        <w:numPr>
          <w:ilvl w:val="0"/>
          <w:numId w:val="1001"/>
        </w:numPr>
        <w:pStyle w:val="Compact"/>
      </w:pPr>
      <w:r>
        <w:t xml:space="preserve">Abadi, D. (2012)</w:t>
      </w:r>
      <w:r>
        <w:t xml:space="preserve"> </w:t>
      </w:r>
      <w:r>
        <w:t xml:space="preserve">‘</w:t>
      </w:r>
      <w:r>
        <w:t xml:space="preserve">Consistency tradeoffs in modern distributed database system design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Computer</w:t>
      </w:r>
      <w:r>
        <w:t xml:space="preserve">, 45(2), pp. 37-42.</w:t>
      </w:r>
    </w:p>
    <w:p>
      <w:pPr>
        <w:numPr>
          <w:ilvl w:val="0"/>
          <w:numId w:val="1001"/>
        </w:numPr>
        <w:pStyle w:val="Compact"/>
      </w:pPr>
      <w:r>
        <w:t xml:space="preserve">Brewer, E. (2012)</w:t>
      </w:r>
      <w:r>
        <w:t xml:space="preserve"> </w:t>
      </w:r>
      <w:r>
        <w:t xml:space="preserve">‘</w:t>
      </w:r>
      <w:r>
        <w:t xml:space="preserve">CAP twelve years later: how the</w:t>
      </w:r>
      <w:r>
        <w:t xml:space="preserve"> </w:t>
      </w:r>
      <w:r>
        <w:t xml:space="preserve">“</w:t>
      </w:r>
      <w:r>
        <w:t xml:space="preserve">rules</w:t>
      </w:r>
      <w:r>
        <w:t xml:space="preserve">”</w:t>
      </w:r>
      <w:r>
        <w:t xml:space="preserve"> </w:t>
      </w:r>
      <w:r>
        <w:t xml:space="preserve">have changed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Computer</w:t>
      </w:r>
      <w:r>
        <w:t xml:space="preserve">, 45(2), pp. 23-29.</w:t>
      </w:r>
    </w:p>
    <w:p>
      <w:pPr>
        <w:numPr>
          <w:ilvl w:val="0"/>
          <w:numId w:val="1001"/>
        </w:numPr>
        <w:pStyle w:val="Compact"/>
      </w:pPr>
      <w:r>
        <w:t xml:space="preserve">Federal Republic of Nigeria (2023)</w:t>
      </w:r>
      <w:r>
        <w:t xml:space="preserve"> </w:t>
      </w:r>
      <w:r>
        <w:rPr>
          <w:iCs/>
          <w:i/>
        </w:rPr>
        <w:t xml:space="preserve">Nigeria Data Protection Act 2023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Kleppmann, M. (2017)</w:t>
      </w:r>
      <w:r>
        <w:t xml:space="preserve"> </w:t>
      </w:r>
      <w:r>
        <w:rPr>
          <w:iCs/>
          <w:i/>
        </w:rPr>
        <w:t xml:space="preserve">Designing Data-Intensive Applications</w:t>
      </w:r>
      <w:r>
        <w:t xml:space="preserve">. Sebastopol, CA: O’Reilly.</w:t>
      </w:r>
    </w:p>
    <w:p>
      <w:pPr>
        <w:numPr>
          <w:ilvl w:val="0"/>
          <w:numId w:val="1001"/>
        </w:numPr>
        <w:pStyle w:val="Compact"/>
      </w:pPr>
      <w:r>
        <w:t xml:space="preserve">MongoDB Inc. (n.d.)</w:t>
      </w:r>
      <w:r>
        <w:t xml:space="preserve"> </w:t>
      </w:r>
      <w:r>
        <w:rPr>
          <w:iCs/>
          <w:i/>
        </w:rPr>
        <w:t xml:space="preserve">MongoDB Manual</w:t>
      </w:r>
      <w:r>
        <w:t xml:space="preserve">. Available at: https://www.mongodb.com/docs/manual/.</w:t>
      </w:r>
    </w:p>
    <w:p>
      <w:pPr>
        <w:numPr>
          <w:ilvl w:val="0"/>
          <w:numId w:val="1001"/>
        </w:numPr>
        <w:pStyle w:val="Compact"/>
      </w:pPr>
      <w:r>
        <w:t xml:space="preserve">Ports, D.R.K. and Grittner, K. (2012)</w:t>
      </w:r>
      <w:r>
        <w:t xml:space="preserve"> </w:t>
      </w:r>
      <w:r>
        <w:t xml:space="preserve">‘</w:t>
      </w:r>
      <w:r>
        <w:t xml:space="preserve">Serializable snapshot isolation in PostgreSQL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Proceedings of the VLDB Endowment</w:t>
      </w:r>
      <w:r>
        <w:t xml:space="preserve">, 5(12), pp. 1850-1861.</w:t>
      </w:r>
    </w:p>
    <w:p>
      <w:pPr>
        <w:numPr>
          <w:ilvl w:val="0"/>
          <w:numId w:val="1001"/>
        </w:numPr>
        <w:pStyle w:val="Compact"/>
      </w:pPr>
      <w:r>
        <w:t xml:space="preserve">PostgreSQL Global Development Group (n.d.)</w:t>
      </w:r>
      <w:r>
        <w:t xml:space="preserve"> </w:t>
      </w:r>
      <w:r>
        <w:rPr>
          <w:iCs/>
          <w:i/>
        </w:rPr>
        <w:t xml:space="preserve">PostgreSQL 16 Documentation</w:t>
      </w:r>
      <w:r>
        <w:t xml:space="preserve">. Available at: https://www.postgresql.org/docs/16/.</w:t>
      </w:r>
    </w:p>
    <w:p>
      <w:pPr>
        <w:numPr>
          <w:ilvl w:val="0"/>
          <w:numId w:val="1001"/>
        </w:numPr>
        <w:pStyle w:val="Compact"/>
      </w:pPr>
      <w:r>
        <w:t xml:space="preserve">Redis Ltd (n.d.)</w:t>
      </w:r>
      <w:r>
        <w:t xml:space="preserve"> </w:t>
      </w:r>
      <w:r>
        <w:rPr>
          <w:iCs/>
          <w:i/>
        </w:rPr>
        <w:t xml:space="preserve">Redis Documentation</w:t>
      </w:r>
      <w:r>
        <w:t xml:space="preserve">. Available at: https://redis.io/docs/.</w:t>
      </w:r>
    </w:p>
    <w:p>
      <w:pPr>
        <w:numPr>
          <w:ilvl w:val="0"/>
          <w:numId w:val="1001"/>
        </w:numPr>
        <w:pStyle w:val="Compact"/>
      </w:pPr>
      <w:r>
        <w:t xml:space="preserve">Silberschatz, A., Korth, H.F. and Sudarshan, S. (2019)</w:t>
      </w:r>
      <w:r>
        <w:t xml:space="preserve"> </w:t>
      </w:r>
      <w:r>
        <w:rPr>
          <w:iCs/>
          <w:i/>
        </w:rPr>
        <w:t xml:space="preserve">Database System Concepts</w:t>
      </w:r>
      <w:r>
        <w:t xml:space="preserve">. 7th edn. New York: McGraw-Hill.</w:t>
      </w:r>
    </w:p>
    <w:p>
      <w:pPr>
        <w:pStyle w:val="FirstParagraph"/>
      </w:pPr>
      <w:r>
        <w:rPr>
          <w:bCs/>
          <w:b/>
        </w:rPr>
        <w:t xml:space="preserve">AI-use declaration.</w:t>
      </w:r>
      <w:r>
        <w:t xml:space="preserve"> </w:t>
      </w:r>
      <w:r>
        <w:t xml:space="preserve">(i)</w:t>
      </w:r>
      <w:r>
        <w:t xml:space="preserve"> </w:t>
      </w:r>
      <w:r>
        <w:rPr>
          <w:bCs/>
          <w:b/>
        </w:rPr>
        <w:t xml:space="preserve">Tool:</w:t>
      </w:r>
      <w:r>
        <w:t xml:space="preserve"> </w:t>
      </w:r>
      <w:r>
        <w:t xml:space="preserve">Claude (Anthropic), used through claude.ai. (ii)</w:t>
      </w:r>
      <w:r>
        <w:t xml:space="preserve"> </w:t>
      </w:r>
      <w:r>
        <w:rPr>
          <w:bCs/>
          <w:b/>
        </w:rPr>
        <w:t xml:space="preserve">Used for:</w:t>
      </w:r>
      <w:r>
        <w:t xml:space="preserve"> </w:t>
      </w:r>
      <w:r>
        <w:t xml:space="preserve">choosing and scoping the case study; designing the schema; writing the SQL, shell and Python scripts; running them on PostgreSQL 16 and Redis 7 to produce the outputs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; reviewing the work against the marking rubric; and drafting the READMEs and this document, including a first draft of this reflection. (iii)</w:t>
      </w:r>
      <w:r>
        <w:t xml:space="preserve"> </w:t>
      </w:r>
      <w:r>
        <w:rPr>
          <w:bCs/>
          <w:b/>
        </w:rPr>
        <w:t xml:space="preserve">Review and verification:</w:t>
      </w:r>
      <w:r>
        <w:t xml:space="preserve"> </w:t>
      </w:r>
      <w:r>
        <w:t xml:space="preserve">every script was executed and its raw output saved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; every figure quoted in this document is taken from those files; timings are medians of five runs on data generated with a fixed seed, and two full rebuilds produced identical data; errors found during testing (listed in section 7) were corrected and the affected scripts re-run. The MongoDB script and the Neo4j design were not executed.</w:t>
      </w:r>
    </w:p>
    <w:p>
      <w:r>
        <w:br w:type="page"/>
      </w:r>
    </w:p>
    <w:bookmarkEnd w:id="33"/>
    <w:bookmarkStart w:id="46" w:name="Xeaa3b2d6fb2147b907e7d319188688456276253"/>
    <w:p>
      <w:pPr>
        <w:pStyle w:val="Heading1"/>
      </w:pPr>
      <w:r>
        <w:t xml:space="preserve">Appendix - Evidence (excerpts from the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files in the repository)</w:t>
      </w:r>
    </w:p>
    <w:p>
      <w:pPr>
        <w:pStyle w:val="CaptionedFigure"/>
      </w:pPr>
      <w:r>
        <w:drawing>
          <wp:inline>
            <wp:extent cx="5334000" cy="2901696"/>
            <wp:effectExtent b="0" l="0" r="0" t="0"/>
            <wp:docPr descr="Evidence 1: Portfolio 2 plans and timings" title="" id="35" name="Picture"/>
            <a:graphic>
              <a:graphicData uri="http://schemas.openxmlformats.org/drawingml/2006/picture">
                <pic:pic>
                  <pic:nvPicPr>
                    <pic:cNvPr descr="docs/evidence/e1_query_plan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1: Portfolio 2 plans and timings</w:t>
      </w:r>
    </w:p>
    <w:p>
      <w:pPr>
        <w:pStyle w:val="CaptionedFigure"/>
      </w:pPr>
      <w:r>
        <w:drawing>
          <wp:inline>
            <wp:extent cx="5334000" cy="3669792"/>
            <wp:effectExtent b="0" l="0" r="0" t="0"/>
            <wp:docPr descr="Evidence 2: Portfolio 3 concurrency demonstrations" title="" id="38" name="Picture"/>
            <a:graphic>
              <a:graphicData uri="http://schemas.openxmlformats.org/drawingml/2006/picture">
                <pic:pic>
                  <pic:nvPicPr>
                    <pic:cNvPr descr="docs/evidence/e2_concurrenc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9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2: Portfolio 3 concurrency demonstrations</w:t>
      </w:r>
    </w:p>
    <w:p>
      <w:pPr>
        <w:pStyle w:val="CaptionedFigure"/>
      </w:pPr>
      <w:r>
        <w:drawing>
          <wp:inline>
            <wp:extent cx="5334000" cy="2709672"/>
            <wp:effectExtent b="0" l="0" r="0" t="0"/>
            <wp:docPr descr="Evidence 3: Portfolio 4 document model and Redis" title="" id="41" name="Picture"/>
            <a:graphic>
              <a:graphicData uri="http://schemas.openxmlformats.org/drawingml/2006/picture">
                <pic:pic>
                  <pic:nvPicPr>
                    <pic:cNvPr descr="docs/evidence/e3_nosq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3: Portfolio 4 document model and Redis</w:t>
      </w:r>
    </w:p>
    <w:p>
      <w:pPr>
        <w:pStyle w:val="CaptionedFigure"/>
      </w:pPr>
      <w:r>
        <w:drawing>
          <wp:inline>
            <wp:extent cx="5334000" cy="1941576"/>
            <wp:effectExtent b="0" l="0" r="0" t="0"/>
            <wp:docPr descr="Evidence 4: Portfolio 5 replication, failover and sharding" title="" id="44" name="Picture"/>
            <a:graphic>
              <a:graphicData uri="http://schemas.openxmlformats.org/drawingml/2006/picture">
                <pic:pic>
                  <pic:nvPicPr>
                    <pic:cNvPr descr="docs/evidence/e4_distribute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Evidence 4: Portfolio 5 replication, failover and sharding</w:t>
      </w:r>
    </w:p>
    <w:bookmarkEnd w:id="46"/>
    <w:sectPr>
      <w:pgMar w:bottom="864" w:left="1008" w:right="1008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 w:line="240" w:lineRule="auto"/>
    </w:pPr>
    <w:rPr>
      <w:rFonts w:ascii="Calibri" w:hAnsi="Calibri"/>
      <w:sz w:val="19"/>
    </w:rPr>
  </w:style>
  <w:style w:styleId="BodyText" w:type="paragraph">
    <w:name w:val="Body Text"/>
    <w:basedOn w:val="Normal"/>
    <w:link w:val="BodyTextChar"/>
    <w:pPr>
      <w:spacing w:after="60" w:before="0" w:line="240" w:lineRule="auto"/>
    </w:pPr>
    <w:qFormat/>
    <w:rPr>
      <w:rFonts w:ascii="Calibri" w:hAnsi="Calibri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 w:line="240" w:lineRule="auto"/>
    </w:pPr>
    <w:rPr>
      <w:rFonts w:ascii="Calibri" w:hAnsi="Calibri"/>
      <w:sz w:val="19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themeColor="accent1" w:themeShade="B5" w:val="345A8A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40" w:before="0"/>
    </w:pPr>
    <w:rPr>
      <w:rFonts w:ascii="Calibri" w:hAnsi="Calibri"/>
      <w:sz w:val="15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after="40" w:before="0"/>
    </w:pPr>
    <w:rPr>
      <w:rFonts w:ascii="Calibri" w:hAnsi="Calibri"/>
      <w:sz w:val="15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0B3558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 8103 Advanced Database Systems - Portfolio Documentation</dc:title>
  <dc:creator/>
  <cp:keywords/>
  <dcterms:created xsi:type="dcterms:W3CDTF">2026-10-13T22:10:11Z</dcterms:created>
  <dcterms:modified xsi:type="dcterms:W3CDTF">2026-10-13T22:10:11Z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