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050D" w:rsidRPr="00E24B1F" w:rsidRDefault="00E24B1F" w:rsidP="00E24B1F">
      <w:pPr>
        <w:pStyle w:val="Heading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Global Store Dashboard – Executive Summary Report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1. Overview</w:t>
      </w:r>
    </w:p>
    <w:p w:rsidR="00D6050D" w:rsidRPr="00E24B1F" w:rsidRDefault="00E24B1F" w:rsidP="00E24B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 xml:space="preserve">The Global Store generated </w:t>
      </w:r>
      <w:r w:rsidRPr="00E24B1F">
        <w:rPr>
          <w:rFonts w:ascii="Times New Roman" w:hAnsi="Times New Roman" w:cs="Times New Roman"/>
          <w:b/>
          <w:sz w:val="28"/>
          <w:szCs w:val="28"/>
        </w:rPr>
        <w:t>$12.64M in sales across 25,035 orders</w:t>
      </w:r>
      <w:r w:rsidRPr="00E24B1F">
        <w:rPr>
          <w:rFonts w:ascii="Times New Roman" w:hAnsi="Times New Roman" w:cs="Times New Roman"/>
          <w:sz w:val="28"/>
          <w:szCs w:val="28"/>
        </w:rPr>
        <w:t xml:space="preserve"> (average order value about $505) and earned </w:t>
      </w:r>
      <w:r w:rsidRPr="00E24B1F">
        <w:rPr>
          <w:rFonts w:ascii="Times New Roman" w:hAnsi="Times New Roman" w:cs="Times New Roman"/>
          <w:b/>
          <w:sz w:val="28"/>
          <w:szCs w:val="28"/>
        </w:rPr>
        <w:t>$1.47M in profit, an 11.6% margin</w:t>
      </w:r>
      <w:r w:rsidRPr="00E24B1F">
        <w:rPr>
          <w:rFonts w:ascii="Times New Roman" w:hAnsi="Times New Roman" w:cs="Times New Roman"/>
          <w:sz w:val="28"/>
          <w:szCs w:val="28"/>
        </w:rPr>
        <w:t>. Sales are spread evenly across three categories, but profit is not. The business is held back less by demand than by margin leakage, mainly from heavy discounting, a weak Furniture line and a handful of low-margin regions.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2. Headline Performance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76"/>
        <w:gridCol w:w="3183"/>
      </w:tblGrid>
      <w:tr w:rsidR="00D6050D" w:rsidRPr="00E24B1F">
        <w:trPr>
          <w:tblHeader/>
        </w:trPr>
        <w:tc>
          <w:tcPr>
            <w:tcW w:w="6176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3183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D6050D" w:rsidRPr="00E24B1F">
        <w:tc>
          <w:tcPr>
            <w:tcW w:w="6176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Total Sales / Revenue</w:t>
            </w:r>
          </w:p>
        </w:tc>
        <w:tc>
          <w:tcPr>
            <w:tcW w:w="318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$12.64M</w:t>
            </w:r>
          </w:p>
        </w:tc>
      </w:tr>
      <w:tr w:rsidR="00D6050D" w:rsidRPr="00E24B1F">
        <w:tc>
          <w:tcPr>
            <w:tcW w:w="6176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Total Profit</w:t>
            </w:r>
          </w:p>
        </w:tc>
        <w:tc>
          <w:tcPr>
            <w:tcW w:w="318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$1.47M</w:t>
            </w:r>
          </w:p>
        </w:tc>
      </w:tr>
      <w:tr w:rsidR="00D6050D" w:rsidRPr="00E24B1F">
        <w:tc>
          <w:tcPr>
            <w:tcW w:w="6176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Profit Margin</w:t>
            </w:r>
          </w:p>
        </w:tc>
        <w:tc>
          <w:tcPr>
            <w:tcW w:w="318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11.6%</w:t>
            </w:r>
          </w:p>
        </w:tc>
      </w:tr>
      <w:tr w:rsidR="00D6050D" w:rsidRPr="00E24B1F">
        <w:tc>
          <w:tcPr>
            <w:tcW w:w="6176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Total Orders</w:t>
            </w:r>
          </w:p>
        </w:tc>
        <w:tc>
          <w:tcPr>
            <w:tcW w:w="318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25,035</w:t>
            </w:r>
          </w:p>
        </w:tc>
      </w:tr>
      <w:tr w:rsidR="00D6050D" w:rsidRPr="00E24B1F">
        <w:tc>
          <w:tcPr>
            <w:tcW w:w="6176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Average Order Value</w:t>
            </w:r>
          </w:p>
        </w:tc>
        <w:tc>
          <w:tcPr>
            <w:tcW w:w="318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about $505</w:t>
            </w:r>
          </w:p>
        </w:tc>
      </w:tr>
    </w:tbl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3. Performance by Category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93"/>
        <w:gridCol w:w="1442"/>
        <w:gridCol w:w="2578"/>
        <w:gridCol w:w="1259"/>
        <w:gridCol w:w="1385"/>
      </w:tblGrid>
      <w:tr w:rsidR="00D6050D" w:rsidRPr="00E24B1F">
        <w:trPr>
          <w:tblHeader/>
        </w:trPr>
        <w:tc>
          <w:tcPr>
            <w:tcW w:w="2693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1442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78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Share of Sales</w:t>
            </w:r>
          </w:p>
        </w:tc>
        <w:tc>
          <w:tcPr>
            <w:tcW w:w="1259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Profit</w:t>
            </w:r>
          </w:p>
        </w:tc>
        <w:tc>
          <w:tcPr>
            <w:tcW w:w="1385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Margin</w:t>
            </w:r>
          </w:p>
        </w:tc>
      </w:tr>
      <w:tr w:rsidR="00D6050D" w:rsidRPr="00E24B1F">
        <w:tc>
          <w:tcPr>
            <w:tcW w:w="269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Technology</w:t>
            </w:r>
          </w:p>
        </w:tc>
        <w:tc>
          <w:tcPr>
            <w:tcW w:w="1442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$4.74M</w:t>
            </w:r>
          </w:p>
        </w:tc>
        <w:tc>
          <w:tcPr>
            <w:tcW w:w="2578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37.5%</w:t>
            </w:r>
          </w:p>
        </w:tc>
        <w:tc>
          <w:tcPr>
            <w:tcW w:w="1259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$664K</w:t>
            </w:r>
          </w:p>
        </w:tc>
        <w:tc>
          <w:tcPr>
            <w:tcW w:w="1385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14.0%</w:t>
            </w:r>
          </w:p>
        </w:tc>
      </w:tr>
      <w:tr w:rsidR="00D6050D" w:rsidRPr="00E24B1F">
        <w:tc>
          <w:tcPr>
            <w:tcW w:w="269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Furniture</w:t>
            </w:r>
          </w:p>
        </w:tc>
        <w:tc>
          <w:tcPr>
            <w:tcW w:w="1442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$4.11M</w:t>
            </w:r>
          </w:p>
        </w:tc>
        <w:tc>
          <w:tcPr>
            <w:tcW w:w="2578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32.5%</w:t>
            </w:r>
          </w:p>
        </w:tc>
        <w:tc>
          <w:tcPr>
            <w:tcW w:w="1259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$285K</w:t>
            </w:r>
          </w:p>
        </w:tc>
        <w:tc>
          <w:tcPr>
            <w:tcW w:w="1385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6.9%</w:t>
            </w:r>
          </w:p>
        </w:tc>
      </w:tr>
      <w:tr w:rsidR="00D6050D" w:rsidRPr="00E24B1F">
        <w:tc>
          <w:tcPr>
            <w:tcW w:w="2693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Office Supplies</w:t>
            </w:r>
          </w:p>
        </w:tc>
        <w:tc>
          <w:tcPr>
            <w:tcW w:w="1442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$3.79M</w:t>
            </w:r>
          </w:p>
        </w:tc>
        <w:tc>
          <w:tcPr>
            <w:tcW w:w="2578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30.0%</w:t>
            </w:r>
          </w:p>
        </w:tc>
        <w:tc>
          <w:tcPr>
            <w:tcW w:w="1259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$518K</w:t>
            </w:r>
          </w:p>
        </w:tc>
        <w:tc>
          <w:tcPr>
            <w:tcW w:w="1385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13.7%</w:t>
            </w:r>
          </w:p>
        </w:tc>
      </w:tr>
    </w:tbl>
    <w:p w:rsidR="00D6050D" w:rsidRPr="00E24B1F" w:rsidRDefault="00E24B1F" w:rsidP="00E24B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lastRenderedPageBreak/>
        <w:t>Technology earns 45% of total profit. Furniture contributes 32.5% of sales but only 19% of profit, and its Tables sub-category loses money (sales of $757K, loss of $64K, margin of −8.5%).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4. Performance by Region</w:t>
      </w:r>
    </w:p>
    <w:p w:rsidR="00D6050D" w:rsidRPr="00E24B1F" w:rsidRDefault="00E24B1F" w:rsidP="00E24B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Central leads on both sales ($2.82M) and profit ($311K). The ranking of sales and profit differs sharply elsewhere:</w:t>
      </w:r>
    </w:p>
    <w:p w:rsidR="00D6050D" w:rsidRPr="00E24B1F" w:rsidRDefault="00E24B1F" w:rsidP="00E24B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South</w:t>
      </w:r>
      <w:r w:rsidRPr="00E24B1F">
        <w:rPr>
          <w:rFonts w:ascii="Times New Roman" w:hAnsi="Times New Roman" w:cs="Times New Roman"/>
          <w:sz w:val="28"/>
          <w:szCs w:val="28"/>
        </w:rPr>
        <w:t xml:space="preserve"> is 2nd in sales but 4th in profit (8.8% margin).</w:t>
      </w:r>
    </w:p>
    <w:p w:rsidR="00D6050D" w:rsidRPr="00E24B1F" w:rsidRDefault="00E24B1F" w:rsidP="00E24B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Southeast Asia</w:t>
      </w:r>
      <w:r w:rsidRPr="00E24B1F">
        <w:rPr>
          <w:rFonts w:ascii="Times New Roman" w:hAnsi="Times New Roman" w:cs="Times New Roman"/>
          <w:sz w:val="28"/>
          <w:szCs w:val="28"/>
        </w:rPr>
        <w:t xml:space="preserve"> is 5th in sales ($884K) but 12th of 13 in profit, earning only $18K (2.0% margin, 27% average discount).</w:t>
      </w:r>
    </w:p>
    <w:p w:rsidR="00D6050D" w:rsidRPr="00E24B1F" w:rsidRDefault="00E24B1F" w:rsidP="00E24B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EMEA</w:t>
      </w:r>
      <w:r w:rsidRPr="00E24B1F">
        <w:rPr>
          <w:rFonts w:ascii="Times New Roman" w:hAnsi="Times New Roman" w:cs="Times New Roman"/>
          <w:sz w:val="28"/>
          <w:szCs w:val="28"/>
        </w:rPr>
        <w:t xml:space="preserve"> earns a 5.4% margin with a 20% average discount.</w:t>
      </w:r>
    </w:p>
    <w:p w:rsidR="00D6050D" w:rsidRPr="00E24B1F" w:rsidRDefault="00E24B1F" w:rsidP="00E24B1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North Asia</w:t>
      </w:r>
      <w:r w:rsidRPr="00E24B1F">
        <w:rPr>
          <w:rFonts w:ascii="Times New Roman" w:hAnsi="Times New Roman" w:cs="Times New Roman"/>
          <w:sz w:val="28"/>
          <w:szCs w:val="28"/>
        </w:rPr>
        <w:t xml:space="preserve"> (19.5% margin), </w:t>
      </w:r>
      <w:r w:rsidRPr="00E24B1F">
        <w:rPr>
          <w:rFonts w:ascii="Times New Roman" w:hAnsi="Times New Roman" w:cs="Times New Roman"/>
          <w:b/>
          <w:sz w:val="28"/>
          <w:szCs w:val="28"/>
        </w:rPr>
        <w:t>Central Asia</w:t>
      </w:r>
      <w:r w:rsidRPr="00E24B1F">
        <w:rPr>
          <w:rFonts w:ascii="Times New Roman" w:hAnsi="Times New Roman" w:cs="Times New Roman"/>
          <w:sz w:val="28"/>
          <w:szCs w:val="28"/>
        </w:rPr>
        <w:t xml:space="preserve"> (17.6%) and </w:t>
      </w:r>
      <w:r w:rsidRPr="00E24B1F">
        <w:rPr>
          <w:rFonts w:ascii="Times New Roman" w:hAnsi="Times New Roman" w:cs="Times New Roman"/>
          <w:b/>
          <w:sz w:val="28"/>
          <w:szCs w:val="28"/>
        </w:rPr>
        <w:t>North</w:t>
      </w:r>
      <w:r w:rsidRPr="00E24B1F">
        <w:rPr>
          <w:rFonts w:ascii="Times New Roman" w:hAnsi="Times New Roman" w:cs="Times New Roman"/>
          <w:sz w:val="28"/>
          <w:szCs w:val="28"/>
        </w:rPr>
        <w:t xml:space="preserve"> (15.6%) are the most profitable markets and discount the least (5%, 7% and 10%).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5. Segment, Product and Seasonality</w:t>
      </w:r>
    </w:p>
    <w:p w:rsidR="003B652B" w:rsidRPr="00E24B1F" w:rsidRDefault="00E24B1F" w:rsidP="00E24B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Segments:</w:t>
      </w:r>
      <w:r w:rsidRPr="00E24B1F">
        <w:rPr>
          <w:rFonts w:ascii="Times New Roman" w:hAnsi="Times New Roman" w:cs="Times New Roman"/>
          <w:sz w:val="28"/>
          <w:szCs w:val="28"/>
        </w:rPr>
        <w:t xml:space="preserve"> Consumer provides 51.5%</w:t>
      </w:r>
    </w:p>
    <w:p w:rsidR="00D6050D" w:rsidRPr="00E24B1F" w:rsidRDefault="00E24B1F" w:rsidP="00E24B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 xml:space="preserve"> of sales, Corporate 30.3% and Home Office 18.3%. Margins are similar (11.5% to 12.0%), with Home Office the highest.</w:t>
      </w:r>
    </w:p>
    <w:p w:rsidR="00D6050D" w:rsidRPr="00E24B1F" w:rsidRDefault="00E24B1F" w:rsidP="00E24B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Products:</w:t>
      </w:r>
      <w:r w:rsidRPr="00E24B1F">
        <w:rPr>
          <w:rFonts w:ascii="Times New Roman" w:hAnsi="Times New Roman" w:cs="Times New Roman"/>
          <w:sz w:val="28"/>
          <w:szCs w:val="28"/>
        </w:rPr>
        <w:t xml:space="preserve"> Profit is widely spread. The top product (Canon </w:t>
      </w:r>
      <w:proofErr w:type="spellStart"/>
      <w:r w:rsidRPr="00E24B1F">
        <w:rPr>
          <w:rFonts w:ascii="Times New Roman" w:hAnsi="Times New Roman" w:cs="Times New Roman"/>
          <w:sz w:val="28"/>
          <w:szCs w:val="28"/>
        </w:rPr>
        <w:t>imageCLASS</w:t>
      </w:r>
      <w:proofErr w:type="spellEnd"/>
      <w:r w:rsidRPr="00E24B1F">
        <w:rPr>
          <w:rFonts w:ascii="Times New Roman" w:hAnsi="Times New Roman" w:cs="Times New Roman"/>
          <w:sz w:val="28"/>
          <w:szCs w:val="28"/>
        </w:rPr>
        <w:t xml:space="preserve"> 2200 Copier) earns $25.2K, only 1.7% of total profit, and the top 10 products together earn 8.9%. Seven of the top 10 are technology items.</w:t>
      </w:r>
    </w:p>
    <w:p w:rsidR="00D6050D" w:rsidRPr="00E24B1F" w:rsidRDefault="00E24B1F" w:rsidP="00E24B1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Seasonality:</w:t>
      </w:r>
      <w:r w:rsidRPr="00E24B1F">
        <w:rPr>
          <w:rFonts w:ascii="Times New Roman" w:hAnsi="Times New Roman" w:cs="Times New Roman"/>
          <w:sz w:val="28"/>
          <w:szCs w:val="28"/>
        </w:rPr>
        <w:t xml:space="preserve"> November and December are the peak months (about $1.38M each, 21.8% of annual sales). February is the lowest ($0.72M). Margins dip in July to September (about 10–11%).</w:t>
      </w:r>
    </w:p>
    <w:p w:rsidR="003B652B" w:rsidRPr="00E24B1F" w:rsidRDefault="003B652B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lastRenderedPageBreak/>
        <w:t>6. Five Key Business Insights</w:t>
      </w:r>
    </w:p>
    <w:p w:rsidR="003B652B" w:rsidRPr="00E24B1F" w:rsidRDefault="003B652B" w:rsidP="00E24B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Style w:val="Strong"/>
          <w:rFonts w:ascii="Times New Roman" w:hAnsi="Times New Roman" w:cs="Times New Roman"/>
          <w:sz w:val="28"/>
          <w:szCs w:val="28"/>
        </w:rPr>
        <w:t>Technology drives profit; Furniture drags it down.</w:t>
      </w:r>
      <w:r w:rsidRPr="00E24B1F">
        <w:rPr>
          <w:rFonts w:ascii="Times New Roman" w:hAnsi="Times New Roman" w:cs="Times New Roman"/>
          <w:sz w:val="28"/>
          <w:szCs w:val="28"/>
        </w:rPr>
        <w:t xml:space="preserve"> Technology earns $664K at a 14.0% margin (45% of total profit). Furniture is 32.5% of sales but only 19% of profit at a 6.9% margin, and its Tables sub-category loses money (−8.5% margin, −$64K).</w:t>
      </w:r>
    </w:p>
    <w:p w:rsidR="003B652B" w:rsidRPr="00E24B1F" w:rsidRDefault="003B652B" w:rsidP="00E24B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Style w:val="Strong"/>
          <w:rFonts w:ascii="Times New Roman" w:hAnsi="Times New Roman" w:cs="Times New Roman"/>
          <w:sz w:val="28"/>
          <w:szCs w:val="28"/>
        </w:rPr>
        <w:t>Sales rank and profit rank often disagree.</w:t>
      </w:r>
      <w:r w:rsidRPr="00E24B1F">
        <w:rPr>
          <w:rFonts w:ascii="Times New Roman" w:hAnsi="Times New Roman" w:cs="Times New Roman"/>
          <w:sz w:val="28"/>
          <w:szCs w:val="28"/>
        </w:rPr>
        <w:t xml:space="preserve"> Central leads both ($2.82M sales, $311K profit). South is 2nd in sales but 4th in profit. Southeast Asia is 5th in sales ($884K) but 12th of 13 in profit ($18K, 2.0% margin). North Asia is 6th in sales but 3rd in profit (19.5% margin).</w:t>
      </w:r>
    </w:p>
    <w:p w:rsidR="003B652B" w:rsidRPr="00E24B1F" w:rsidRDefault="003B652B" w:rsidP="00E24B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Style w:val="Strong"/>
          <w:rFonts w:ascii="Times New Roman" w:hAnsi="Times New Roman" w:cs="Times New Roman"/>
          <w:sz w:val="28"/>
          <w:szCs w:val="28"/>
        </w:rPr>
        <w:t>Discounting explains most of the regional margin gap.</w:t>
      </w:r>
      <w:r w:rsidRPr="00E24B1F">
        <w:rPr>
          <w:rFonts w:ascii="Times New Roman" w:hAnsi="Times New Roman" w:cs="Times New Roman"/>
          <w:sz w:val="28"/>
          <w:szCs w:val="28"/>
        </w:rPr>
        <w:t xml:space="preserve"> Average discount is 27% in Southeast Asia and 20% in EMEA, against 5% in North Asia, 7% in Central Asia and 10% in North. The low-discount regions have the highest margins.</w:t>
      </w:r>
    </w:p>
    <w:p w:rsidR="003B652B" w:rsidRPr="00E24B1F" w:rsidRDefault="003B652B" w:rsidP="00E24B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Style w:val="Strong"/>
          <w:rFonts w:ascii="Times New Roman" w:hAnsi="Times New Roman" w:cs="Times New Roman"/>
          <w:sz w:val="28"/>
          <w:szCs w:val="28"/>
        </w:rPr>
        <w:t>Profit is widely spread, not concentrated in a few products.</w:t>
      </w:r>
      <w:r w:rsidRPr="00E24B1F">
        <w:rPr>
          <w:rFonts w:ascii="Times New Roman" w:hAnsi="Times New Roman" w:cs="Times New Roman"/>
          <w:sz w:val="28"/>
          <w:szCs w:val="28"/>
        </w:rPr>
        <w:t xml:space="preserve"> The top product (Canon </w:t>
      </w:r>
      <w:proofErr w:type="spellStart"/>
      <w:r w:rsidRPr="00E24B1F">
        <w:rPr>
          <w:rFonts w:ascii="Times New Roman" w:hAnsi="Times New Roman" w:cs="Times New Roman"/>
          <w:sz w:val="28"/>
          <w:szCs w:val="28"/>
        </w:rPr>
        <w:t>imageCLASS</w:t>
      </w:r>
      <w:proofErr w:type="spellEnd"/>
      <w:r w:rsidRPr="00E24B1F">
        <w:rPr>
          <w:rFonts w:ascii="Times New Roman" w:hAnsi="Times New Roman" w:cs="Times New Roman"/>
          <w:sz w:val="28"/>
          <w:szCs w:val="28"/>
        </w:rPr>
        <w:t xml:space="preserve"> 2200 Copier) earns $25.2K, 1.7% of total profit, and the top 10 products together earn 8.9%. Seven of the top 10 are technology items.</w:t>
      </w:r>
    </w:p>
    <w:p w:rsidR="003B652B" w:rsidRPr="00E24B1F" w:rsidRDefault="003B652B" w:rsidP="00E24B1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Style w:val="Strong"/>
          <w:rFonts w:ascii="Times New Roman" w:hAnsi="Times New Roman" w:cs="Times New Roman"/>
          <w:sz w:val="28"/>
          <w:szCs w:val="28"/>
        </w:rPr>
        <w:t>Revenue is seasonal and Consumer-led.</w:t>
      </w:r>
      <w:r w:rsidRPr="00E24B1F">
        <w:rPr>
          <w:rFonts w:ascii="Times New Roman" w:hAnsi="Times New Roman" w:cs="Times New Roman"/>
          <w:sz w:val="28"/>
          <w:szCs w:val="28"/>
        </w:rPr>
        <w:t xml:space="preserve"> November and December together bring 21.8% of annual sales (about $1.38M each), while February is the lowest ($0.72M). Consumer provides 51.5% of sales, and segment margins are nearly identical (11.5% to 12.0%).</w:t>
      </w:r>
    </w:p>
    <w:p w:rsidR="003B652B" w:rsidRPr="00E24B1F" w:rsidRDefault="003B652B" w:rsidP="00E24B1F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lastRenderedPageBreak/>
        <w:t>6. Key Risks</w:t>
      </w:r>
    </w:p>
    <w:p w:rsidR="00D6050D" w:rsidRPr="00E24B1F" w:rsidRDefault="00E24B1F" w:rsidP="00E24B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Heavy discounting destroys profit.</w:t>
      </w:r>
      <w:r w:rsidRPr="00E24B1F">
        <w:rPr>
          <w:rFonts w:ascii="Times New Roman" w:hAnsi="Times New Roman" w:cs="Times New Roman"/>
          <w:sz w:val="28"/>
          <w:szCs w:val="28"/>
        </w:rPr>
        <w:t xml:space="preserve"> Lines discounted 30% or more make up 21% of all lines and lose $813K (−46.8% margin). Lines below that threshold earn a 20.9% margin.</w:t>
      </w:r>
    </w:p>
    <w:p w:rsidR="00D6050D" w:rsidRPr="00E24B1F" w:rsidRDefault="00E24B1F" w:rsidP="00E24B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Low-margin regions and products.</w:t>
      </w:r>
      <w:r w:rsidRPr="00E24B1F">
        <w:rPr>
          <w:rFonts w:ascii="Times New Roman" w:hAnsi="Times New Roman" w:cs="Times New Roman"/>
          <w:sz w:val="28"/>
          <w:szCs w:val="28"/>
        </w:rPr>
        <w:t xml:space="preserve"> Southeast Asia, EMEA and the Tables sub-category earn little or lose money, so growing them without fixing margins adds sales but not profit.</w:t>
      </w:r>
    </w:p>
    <w:p w:rsidR="00D6050D" w:rsidRPr="00E24B1F" w:rsidRDefault="00E24B1F" w:rsidP="00E24B1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Seasonal and segment concentration.</w:t>
      </w:r>
      <w:r w:rsidRPr="00E24B1F">
        <w:rPr>
          <w:rFonts w:ascii="Times New Roman" w:hAnsi="Times New Roman" w:cs="Times New Roman"/>
          <w:sz w:val="28"/>
          <w:szCs w:val="28"/>
        </w:rPr>
        <w:t xml:space="preserve"> Over a fifth of sales arrive in two months, and over half of sales rely on the Consumer segment.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7. Key Opportunities</w:t>
      </w:r>
    </w:p>
    <w:p w:rsidR="00D6050D" w:rsidRPr="00E24B1F" w:rsidRDefault="00E24B1F" w:rsidP="00E24B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Fix discounting.</w:t>
      </w:r>
      <w:r w:rsidRPr="00E24B1F">
        <w:rPr>
          <w:rFonts w:ascii="Times New Roman" w:hAnsi="Times New Roman" w:cs="Times New Roman"/>
          <w:sz w:val="28"/>
          <w:szCs w:val="28"/>
        </w:rPr>
        <w:t xml:space="preserve"> If lines with 30% or more discount only broke even, profit would rise by about $0.8M, more than 50% above today's level, with no extra sales needed.</w:t>
      </w:r>
    </w:p>
    <w:p w:rsidR="00D6050D" w:rsidRPr="00E24B1F" w:rsidRDefault="00E24B1F" w:rsidP="00E24B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Replicate the high-margin regional model.</w:t>
      </w:r>
      <w:r w:rsidRPr="00E24B1F">
        <w:rPr>
          <w:rFonts w:ascii="Times New Roman" w:hAnsi="Times New Roman" w:cs="Times New Roman"/>
          <w:sz w:val="28"/>
          <w:szCs w:val="28"/>
        </w:rPr>
        <w:t xml:space="preserve"> North Asia, Central Asia and North combine low discounts with strong margins. Applying their pricing discipline to South, Southeast Asia and EMEA could lift profit.</w:t>
      </w:r>
    </w:p>
    <w:p w:rsidR="00D6050D" w:rsidRPr="00E24B1F" w:rsidRDefault="00E24B1F" w:rsidP="00E24B1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b/>
          <w:sz w:val="28"/>
          <w:szCs w:val="28"/>
        </w:rPr>
        <w:t>Grow Technology and Home Office.</w:t>
      </w:r>
      <w:r w:rsidRPr="00E24B1F">
        <w:rPr>
          <w:rFonts w:ascii="Times New Roman" w:hAnsi="Times New Roman" w:cs="Times New Roman"/>
          <w:sz w:val="28"/>
          <w:szCs w:val="28"/>
        </w:rPr>
        <w:t xml:space="preserve"> Technology holds the top-profit products and a 14.0% margin. Home Office has the best segment margin but only 18% of sales.</w:t>
      </w:r>
    </w:p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8. Recommendations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920"/>
        <w:gridCol w:w="3720"/>
      </w:tblGrid>
      <w:tr w:rsidR="00D6050D" w:rsidRPr="00E24B1F">
        <w:trPr>
          <w:tblHeader/>
        </w:trPr>
        <w:tc>
          <w:tcPr>
            <w:tcW w:w="720" w:type="dxa"/>
            <w:shd w:val="clear" w:color="auto" w:fill="F2F2F2"/>
          </w:tcPr>
          <w:p w:rsidR="00D6050D" w:rsidRPr="00E24B1F" w:rsidRDefault="00F02542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S/N</w:t>
            </w:r>
            <w:bookmarkStart w:id="0" w:name="_GoBack"/>
            <w:bookmarkEnd w:id="0"/>
          </w:p>
        </w:tc>
        <w:tc>
          <w:tcPr>
            <w:tcW w:w="4920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Recommendation</w:t>
            </w:r>
          </w:p>
        </w:tc>
        <w:tc>
          <w:tcPr>
            <w:tcW w:w="3720" w:type="dxa"/>
            <w:shd w:val="clear" w:color="auto" w:fill="F2F2F2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Supporting evidence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Cap discounts: require approval above 30% and set a margin floor per product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Lines at 30%+ discount lose $813K; lines below earn 20.9%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Reset pricing in Southeast Asia and EMEA and review cost-to-serve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Margins of 2.0% and 5.4% with 27% and 20% average discounts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Review the Furniture line, starting with Tables (reprice, renegotiate supplier cost or drop loss-makers)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Furniture margin 6.9%; Tables margin −8.5%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Prioritise</w:t>
            </w:r>
            <w:proofErr w:type="spellEnd"/>
            <w:r w:rsidRPr="00E24B1F">
              <w:rPr>
                <w:rFonts w:ascii="Times New Roman" w:hAnsi="Times New Roman" w:cs="Times New Roman"/>
                <w:sz w:val="28"/>
                <w:szCs w:val="28"/>
              </w:rPr>
              <w:t xml:space="preserve"> Technology: protect stock of top products, bundle phones with accessories, negotiate supplier terms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45% of profit at 14.0% margin; 7 of the top 10 profit products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Replicate North Asia, Central Asia and North's pricing and product approach in weaker regions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Margins of 19.5%, 17.6% and 15.6% at 5–10% discounts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Smooth seasonality with January–February promotions and early stock and staffing plans for November–December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Peak months hold 21.8% of sales; February is the lowest month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Grow Corporate and Home Office through bulk and B2B offers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Consumer is 51.5% of sales; Home Office has the highest margin (12.0%)</w:t>
            </w:r>
          </w:p>
        </w:tc>
      </w:tr>
      <w:tr w:rsidR="00D6050D" w:rsidRPr="00E24B1F">
        <w:tc>
          <w:tcPr>
            <w:tcW w:w="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9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Add Profit Margin %, margin by region and margin by category to the dashboard</w:t>
            </w:r>
          </w:p>
        </w:tc>
        <w:tc>
          <w:tcPr>
            <w:tcW w:w="3720" w:type="dxa"/>
          </w:tcPr>
          <w:p w:rsidR="00D6050D" w:rsidRPr="00E24B1F" w:rsidRDefault="00E24B1F" w:rsidP="00E24B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4B1F">
              <w:rPr>
                <w:rFonts w:ascii="Times New Roman" w:hAnsi="Times New Roman" w:cs="Times New Roman"/>
                <w:sz w:val="28"/>
                <w:szCs w:val="28"/>
              </w:rPr>
              <w:t>Page 2 shows sales and profit totals but no margin view</w:t>
            </w:r>
          </w:p>
        </w:tc>
      </w:tr>
    </w:tbl>
    <w:p w:rsidR="00D6050D" w:rsidRPr="00E24B1F" w:rsidRDefault="00E24B1F" w:rsidP="00E24B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lastRenderedPageBreak/>
        <w:t>9. Conclusion</w:t>
      </w:r>
    </w:p>
    <w:p w:rsidR="00D6050D" w:rsidRPr="00E24B1F" w:rsidRDefault="00E24B1F" w:rsidP="00E24B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sz w:val="28"/>
          <w:szCs w:val="28"/>
        </w:rPr>
        <w:t>Demand is healthy and well diversified. The largest and quickest gain is in margin, not volume: controlling discoun</w:t>
      </w:r>
      <w:r w:rsidR="003E7767" w:rsidRPr="00E24B1F">
        <w:rPr>
          <w:rFonts w:ascii="Times New Roman" w:hAnsi="Times New Roman" w:cs="Times New Roman"/>
          <w:sz w:val="28"/>
          <w:szCs w:val="28"/>
        </w:rPr>
        <w:t>ts, fixing Furniture and Tables</w:t>
      </w:r>
      <w:r w:rsidRPr="00E24B1F">
        <w:rPr>
          <w:rFonts w:ascii="Times New Roman" w:hAnsi="Times New Roman" w:cs="Times New Roman"/>
          <w:sz w:val="28"/>
          <w:szCs w:val="28"/>
        </w:rPr>
        <w:t xml:space="preserve"> and bringing Southeast Asia, EMEA and South closer to the margins of the best regions would raise profit substantially without needing more sales.</w:t>
      </w:r>
    </w:p>
    <w:p w:rsidR="00D6050D" w:rsidRPr="00E24B1F" w:rsidRDefault="00E24B1F" w:rsidP="00E24B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4B1F">
        <w:rPr>
          <w:rFonts w:ascii="Times New Roman" w:hAnsi="Times New Roman" w:cs="Times New Roman"/>
          <w:i/>
          <w:sz w:val="28"/>
          <w:szCs w:val="28"/>
        </w:rPr>
        <w:t>Notes: Total Sales and Total Revenue are the same measure in the model. Monthly figures combine all four years (2011–2014).</w:t>
      </w:r>
    </w:p>
    <w:sectPr w:rsidR="00D6050D" w:rsidRPr="00E24B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CF6A29"/>
    <w:multiLevelType w:val="hybridMultilevel"/>
    <w:tmpl w:val="DAF45C34"/>
    <w:lvl w:ilvl="0" w:tplc="CD8AC090">
      <w:start w:val="1"/>
      <w:numFmt w:val="bullet"/>
      <w:lvlText w:val="•"/>
      <w:lvlJc w:val="left"/>
      <w:pPr>
        <w:ind w:left="720" w:hanging="360"/>
      </w:pPr>
    </w:lvl>
    <w:lvl w:ilvl="1" w:tplc="FFA61CD6">
      <w:start w:val="1"/>
      <w:numFmt w:val="bullet"/>
      <w:lvlText w:val="o"/>
      <w:lvlJc w:val="left"/>
      <w:pPr>
        <w:ind w:left="1440" w:hanging="360"/>
      </w:pPr>
    </w:lvl>
    <w:lvl w:ilvl="2" w:tplc="B450D428">
      <w:start w:val="1"/>
      <w:numFmt w:val="bullet"/>
      <w:lvlText w:val="▪"/>
      <w:lvlJc w:val="left"/>
      <w:pPr>
        <w:ind w:left="2160" w:hanging="360"/>
      </w:pPr>
    </w:lvl>
    <w:lvl w:ilvl="3" w:tplc="C4D01B12">
      <w:start w:val="1"/>
      <w:numFmt w:val="bullet"/>
      <w:lvlText w:val="•"/>
      <w:lvlJc w:val="left"/>
      <w:pPr>
        <w:ind w:left="2880" w:hanging="360"/>
      </w:pPr>
    </w:lvl>
    <w:lvl w:ilvl="4" w:tplc="D0CA4ADA">
      <w:start w:val="1"/>
      <w:numFmt w:val="bullet"/>
      <w:lvlText w:val="o"/>
      <w:lvlJc w:val="left"/>
      <w:pPr>
        <w:ind w:left="3600" w:hanging="360"/>
      </w:pPr>
    </w:lvl>
    <w:lvl w:ilvl="5" w:tplc="20000478">
      <w:start w:val="1"/>
      <w:numFmt w:val="bullet"/>
      <w:lvlText w:val="▪"/>
      <w:lvlJc w:val="left"/>
      <w:pPr>
        <w:ind w:left="4320" w:hanging="360"/>
      </w:pPr>
    </w:lvl>
    <w:lvl w:ilvl="6" w:tplc="D8467D72">
      <w:start w:val="1"/>
      <w:numFmt w:val="bullet"/>
      <w:lvlText w:val="•"/>
      <w:lvlJc w:val="left"/>
      <w:pPr>
        <w:ind w:left="5040" w:hanging="360"/>
      </w:pPr>
    </w:lvl>
    <w:lvl w:ilvl="7" w:tplc="0EC4E3D4">
      <w:start w:val="1"/>
      <w:numFmt w:val="bullet"/>
      <w:lvlText w:val="o"/>
      <w:lvlJc w:val="left"/>
      <w:pPr>
        <w:ind w:left="5760" w:hanging="360"/>
      </w:pPr>
    </w:lvl>
    <w:lvl w:ilvl="8" w:tplc="DD02191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8AE0DF7"/>
    <w:multiLevelType w:val="multilevel"/>
    <w:tmpl w:val="D2F0D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009F2"/>
    <w:multiLevelType w:val="hybridMultilevel"/>
    <w:tmpl w:val="708660B6"/>
    <w:lvl w:ilvl="0" w:tplc="ACA0152E">
      <w:start w:val="1"/>
      <w:numFmt w:val="decimal"/>
      <w:lvlText w:val="%1."/>
      <w:lvlJc w:val="left"/>
      <w:pPr>
        <w:ind w:left="720" w:hanging="360"/>
      </w:pPr>
    </w:lvl>
    <w:lvl w:ilvl="1" w:tplc="0CFC6072">
      <w:start w:val="1"/>
      <w:numFmt w:val="lowerLetter"/>
      <w:lvlText w:val="%2."/>
      <w:lvlJc w:val="left"/>
      <w:pPr>
        <w:ind w:left="1440" w:hanging="360"/>
      </w:pPr>
    </w:lvl>
    <w:lvl w:ilvl="2" w:tplc="673E3D9C">
      <w:start w:val="1"/>
      <w:numFmt w:val="lowerRoman"/>
      <w:lvlText w:val="%3."/>
      <w:lvlJc w:val="left"/>
      <w:pPr>
        <w:ind w:left="2160" w:hanging="360"/>
      </w:pPr>
    </w:lvl>
    <w:lvl w:ilvl="3" w:tplc="FBF0D264">
      <w:start w:val="1"/>
      <w:numFmt w:val="decimal"/>
      <w:lvlText w:val="%4."/>
      <w:lvlJc w:val="left"/>
      <w:pPr>
        <w:ind w:left="2880" w:hanging="360"/>
      </w:pPr>
    </w:lvl>
    <w:lvl w:ilvl="4" w:tplc="CE3698E6">
      <w:start w:val="1"/>
      <w:numFmt w:val="lowerLetter"/>
      <w:lvlText w:val="%5."/>
      <w:lvlJc w:val="left"/>
      <w:pPr>
        <w:ind w:left="3600" w:hanging="360"/>
      </w:pPr>
    </w:lvl>
    <w:lvl w:ilvl="5" w:tplc="1FCC1C90">
      <w:start w:val="1"/>
      <w:numFmt w:val="lowerRoman"/>
      <w:lvlText w:val="%6."/>
      <w:lvlJc w:val="left"/>
      <w:pPr>
        <w:ind w:left="4320" w:hanging="360"/>
      </w:pPr>
    </w:lvl>
    <w:lvl w:ilvl="6" w:tplc="259EA078">
      <w:start w:val="1"/>
      <w:numFmt w:val="decimal"/>
      <w:lvlText w:val="%7."/>
      <w:lvlJc w:val="left"/>
      <w:pPr>
        <w:ind w:left="5040" w:hanging="360"/>
      </w:pPr>
    </w:lvl>
    <w:lvl w:ilvl="7" w:tplc="C02CE828">
      <w:start w:val="1"/>
      <w:numFmt w:val="lowerLetter"/>
      <w:lvlText w:val="%8."/>
      <w:lvlJc w:val="left"/>
      <w:pPr>
        <w:ind w:left="5760" w:hanging="360"/>
      </w:pPr>
    </w:lvl>
    <w:lvl w:ilvl="8" w:tplc="CC2C460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0D"/>
    <w:rsid w:val="003B652B"/>
    <w:rsid w:val="003E7767"/>
    <w:rsid w:val="00D00C9E"/>
    <w:rsid w:val="00D6050D"/>
    <w:rsid w:val="00E24B1F"/>
    <w:rsid w:val="00F0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ACB56"/>
  <w15:docId w15:val="{FF92499B-7A9F-449B-9332-1351D767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65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0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Store Dashboard – Executive Summary Report</vt:lpstr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Store Dashboard – Executive Summary Report</dc:title>
  <dc:creator>ZAINAB BALOGUN</dc:creator>
  <dc:description>Claude Docs node/ffeb9bc2-4c17@1 docx-w7</dc:description>
  <cp:lastModifiedBy>ZAINAB BALOGUN</cp:lastModifiedBy>
  <cp:revision>3</cp:revision>
  <dcterms:created xsi:type="dcterms:W3CDTF">2026-10-27T21:40:00Z</dcterms:created>
  <dcterms:modified xsi:type="dcterms:W3CDTF">2026-10-27T21:42:00Z</dcterms:modified>
</cp:coreProperties>
</file>