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 ONE Series — Azure Marketplace SaaS Integration</w:t>
      </w:r>
    </w:p>
    <w:p>
      <w:pPr>
        <w:jc w:val="center"/>
      </w:pPr>
      <w:r>
        <w:rPr>
          <w:color w:val="1E3A5F"/>
          <w:sz w:val="28"/>
        </w:rPr>
        <w:t>Production Architecture &amp; Design Document</w:t>
      </w:r>
    </w:p>
    <w:p>
      <w:pPr>
        <w:jc w:val="center"/>
      </w:pPr>
      <w:r>
        <w:rPr>
          <w:i/>
        </w:rPr>
        <w:t>Version 1.0 | Generated 2026-06-11 | AG ONE Gateway + AG ONE Learn (SaaS)</w:t>
      </w:r>
    </w:p>
    <w:p/>
    <w:p>
      <w:r>
        <w:t>This document describes the production-ready architecture for publishing an AG ONE Series product (AG ONE Learn) on Azure Marketplace while maintaining AG ONE as the central authentication gateway.</w:t>
      </w:r>
    </w:p>
    <w:p>
      <w:pPr>
        <w:pStyle w:val="Heading1"/>
      </w:pPr>
      <w:r>
        <w:t>1. Executive Summary</w:t>
      </w:r>
    </w:p>
    <w:p>
      <w:r>
        <w:t>AG ONE acts as the central identity and entitlement gateway for all products (Work, Learn, Safe). Azure Marketplace handles billing and subscription lifecycle. AG ONE resolves marketplace tokens, activates subscriptions via the SaaS Fulfillment API, provisions tenants in core.*, and issues tenant-scoped JWTs shared across products via the agone_sso_token cookie.</w:t>
      </w:r>
    </w:p>
    <w:p>
      <w:pPr>
        <w:pStyle w:val="ListBullet"/>
      </w:pPr>
      <w:r>
        <w:t>Single Azure SQL database with schema separation: core.*, learn.*, work.*, safe.*</w:t>
      </w:r>
    </w:p>
    <w:p>
      <w:pPr>
        <w:pStyle w:val="ListBullet"/>
      </w:pPr>
      <w:r>
        <w:t>JWT authentication via Microsoft Entra ID + AgOneSsoMiddleware</w:t>
      </w:r>
    </w:p>
    <w:p>
      <w:pPr>
        <w:pStyle w:val="ListBullet"/>
      </w:pPr>
      <w:r>
        <w:t>Marketplace subscription maps 1:1 to AG ONE tenant for AG ONE Learn</w:t>
      </w:r>
    </w:p>
    <w:p>
      <w:pPr>
        <w:pStyle w:val="ListBullet"/>
      </w:pPr>
      <w:r>
        <w:t>Companion draw.io file: AG-ONE-Marketplace-Architecture.drawio (9 diagram pages)</w:t>
      </w:r>
    </w:p>
    <w:p>
      <w:pPr>
        <w:pStyle w:val="Heading1"/>
      </w:pPr>
      <w:r>
        <w:t>2. High-Level Architecture</w:t>
      </w:r>
    </w:p>
    <w:p>
      <w:r>
        <w:t>See draw.io page: 1-High-Level-Architecture</w:t>
      </w:r>
    </w:p>
    <w:tbl>
      <w:tblPr>
        <w:tblStyle w:val="TableGrid"/>
        <w:tblW w:type="auto" w:w="0"/>
        <w:tblLook w:firstColumn="1" w:firstRow="1" w:lastColumn="0" w:lastRow="0" w:noHBand="0" w:noVBand="1" w:val="04A0"/>
      </w:tblPr>
      <w:tblGrid>
        <w:gridCol w:w="2880"/>
        <w:gridCol w:w="2880"/>
        <w:gridCol w:w="2880"/>
      </w:tblGrid>
      <w:tr>
        <w:tc>
          <w:tcPr>
            <w:tcW w:type="dxa" w:w="2880"/>
            <w:shd w:fill="3B82F6" w:val="clear"/>
          </w:tcPr>
          <w:p>
            <w:r>
              <w:rPr>
                <w:b/>
                <w:color w:val="FFFFFF"/>
              </w:rPr>
              <w:t>Layer</w:t>
            </w:r>
          </w:p>
        </w:tc>
        <w:tc>
          <w:tcPr>
            <w:tcW w:type="dxa" w:w="2880"/>
            <w:shd w:fill="3B82F6" w:val="clear"/>
          </w:tcPr>
          <w:p>
            <w:r>
              <w:rPr>
                <w:b/>
                <w:color w:val="FFFFFF"/>
              </w:rPr>
              <w:t>Component</w:t>
            </w:r>
          </w:p>
        </w:tc>
        <w:tc>
          <w:tcPr>
            <w:tcW w:type="dxa" w:w="2880"/>
            <w:shd w:fill="3B82F6" w:val="clear"/>
          </w:tcPr>
          <w:p>
            <w:r>
              <w:rPr>
                <w:b/>
                <w:color w:val="FFFFFF"/>
              </w:rPr>
              <w:t>Responsibility</w:t>
            </w:r>
          </w:p>
        </w:tc>
      </w:tr>
      <w:tr>
        <w:tc>
          <w:tcPr>
            <w:tcW w:type="dxa" w:w="2880"/>
          </w:tcPr>
          <w:p>
            <w:r>
              <w:t>External</w:t>
            </w:r>
          </w:p>
        </w:tc>
        <w:tc>
          <w:tcPr>
            <w:tcW w:type="dxa" w:w="2880"/>
          </w:tcPr>
          <w:p>
            <w:r>
              <w:t>Azure Marketplace</w:t>
            </w:r>
          </w:p>
        </w:tc>
        <w:tc>
          <w:tcPr>
            <w:tcW w:type="dxa" w:w="2880"/>
          </w:tcPr>
          <w:p>
            <w:r>
              <w:t>Offer catalog, billing, subscription lifecycle, redirect to landing page</w:t>
            </w:r>
          </w:p>
        </w:tc>
      </w:tr>
      <w:tr>
        <w:tc>
          <w:tcPr>
            <w:tcW w:type="dxa" w:w="2880"/>
          </w:tcPr>
          <w:p>
            <w:r>
              <w:t>Gateway</w:t>
            </w:r>
          </w:p>
        </w:tc>
        <w:tc>
          <w:tcPr>
            <w:tcW w:type="dxa" w:w="2880"/>
          </w:tcPr>
          <w:p>
            <w:r>
              <w:t>AG ONE Gateway</w:t>
            </w:r>
          </w:p>
        </w:tc>
        <w:tc>
          <w:tcPr>
            <w:tcW w:type="dxa" w:w="2880"/>
          </w:tcPr>
          <w:p>
            <w:r>
              <w:t>Landing page, token resolve, webhooks, tenant provisioning, JWT issuance, central logout</w:t>
            </w:r>
          </w:p>
        </w:tc>
      </w:tr>
      <w:tr>
        <w:tc>
          <w:tcPr>
            <w:tcW w:type="dxa" w:w="2880"/>
          </w:tcPr>
          <w:p>
            <w:r>
              <w:t>Product</w:t>
            </w:r>
          </w:p>
        </w:tc>
        <w:tc>
          <w:tcPr>
            <w:tcW w:type="dxa" w:w="2880"/>
          </w:tcPr>
          <w:p>
            <w:r>
              <w:t>AG ONE Learn</w:t>
            </w:r>
          </w:p>
        </w:tc>
        <w:tc>
          <w:tcPr>
            <w:tcW w:type="dxa" w:w="2880"/>
          </w:tcPr>
          <w:p>
            <w:r>
              <w:t>SaaS product UI/API; validates AG ONE JWT; tenant-scoped learn.* data</w:t>
            </w:r>
          </w:p>
        </w:tc>
      </w:tr>
      <w:tr>
        <w:tc>
          <w:tcPr>
            <w:tcW w:type="dxa" w:w="2880"/>
          </w:tcPr>
          <w:p>
            <w:r>
              <w:t>Product</w:t>
            </w:r>
          </w:p>
        </w:tc>
        <w:tc>
          <w:tcPr>
            <w:tcW w:type="dxa" w:w="2880"/>
          </w:tcPr>
          <w:p>
            <w:r>
              <w:t>AG ONE Work / Safe</w:t>
            </w:r>
          </w:p>
        </w:tc>
        <w:tc>
          <w:tcPr>
            <w:tcW w:type="dxa" w:w="2880"/>
          </w:tcPr>
          <w:p>
            <w:r>
              <w:t>Unchanged; SSO via AG ONE; not exposed via Marketplace unless separately listed</w:t>
            </w:r>
          </w:p>
        </w:tc>
      </w:tr>
      <w:tr>
        <w:tc>
          <w:tcPr>
            <w:tcW w:type="dxa" w:w="2880"/>
          </w:tcPr>
          <w:p>
            <w:r>
              <w:t>Data</w:t>
            </w:r>
          </w:p>
        </w:tc>
        <w:tc>
          <w:tcPr>
            <w:tcW w:type="dxa" w:w="2880"/>
          </w:tcPr>
          <w:p>
            <w:r>
              <w:t>Azure SQL</w:t>
            </w:r>
          </w:p>
        </w:tc>
        <w:tc>
          <w:tcPr>
            <w:tcW w:type="dxa" w:w="2880"/>
          </w:tcPr>
          <w:p>
            <w:r>
              <w:t>Single DB; marketplace metadata in core.*; product data in learn.*</w:t>
            </w:r>
          </w:p>
        </w:tc>
      </w:tr>
      <w:tr>
        <w:tc>
          <w:tcPr>
            <w:tcW w:type="dxa" w:w="2880"/>
          </w:tcPr>
          <w:p>
            <w:r>
              <w:t>Events</w:t>
            </w:r>
          </w:p>
        </w:tc>
        <w:tc>
          <w:tcPr>
            <w:tcW w:type="dxa" w:w="2880"/>
          </w:tcPr>
          <w:p>
            <w:r>
              <w:t>Azure Service Bus</w:t>
            </w:r>
          </w:p>
        </w:tc>
        <w:tc>
          <w:tcPr>
            <w:tcW w:type="dxa" w:w="2880"/>
          </w:tcPr>
          <w:p>
            <w:r>
              <w:t>Async webhook processing and tenant provisioning with retries</w:t>
            </w:r>
          </w:p>
        </w:tc>
      </w:tr>
      <w:tr>
        <w:tc>
          <w:tcPr>
            <w:tcW w:type="dxa" w:w="2880"/>
          </w:tcPr>
          <w:p>
            <w:r>
              <w:t>Secrets</w:t>
            </w:r>
          </w:p>
        </w:tc>
        <w:tc>
          <w:tcPr>
            <w:tcW w:type="dxa" w:w="2880"/>
          </w:tcPr>
          <w:p>
            <w:r>
              <w:t>Azure Key Vault</w:t>
            </w:r>
          </w:p>
        </w:tc>
        <w:tc>
          <w:tcPr>
            <w:tcW w:type="dxa" w:w="2880"/>
          </w:tcPr>
          <w:p>
            <w:r>
              <w:t>Fulfillment API credentials, connection strings</w:t>
            </w:r>
          </w:p>
        </w:tc>
      </w:tr>
    </w:tbl>
    <w:p>
      <w:pPr>
        <w:pStyle w:val="Heading1"/>
      </w:pPr>
      <w:r>
        <w:t>3. End-to-End Flow</w:t>
      </w:r>
    </w:p>
    <w:p>
      <w:r>
        <w:t>See draw.io page: 2-End-to-End-Sequence</w:t>
      </w:r>
    </w:p>
    <w:p>
      <w:pPr>
        <w:pStyle w:val="ListBullet"/>
      </w:pPr>
      <w:r>
        <w:t>1. Customer subscribes to AG ONE Learn on Azure Marketplace.</w:t>
      </w:r>
    </w:p>
    <w:p>
      <w:pPr>
        <w:pStyle w:val="ListBullet"/>
      </w:pPr>
      <w:r>
        <w:t>2. Azure creates SaaS subscription (PendingFulfillmentStart) and redirects to AG ONE landing page with token.</w:t>
      </w:r>
    </w:p>
    <w:p>
      <w:pPr>
        <w:pStyle w:val="ListBullet"/>
      </w:pPr>
      <w:r>
        <w:t>3. AG ONE resolves token via Fulfillment API POST /api/saas/subscriptions/resolve.</w:t>
      </w:r>
    </w:p>
    <w:p>
      <w:pPr>
        <w:pStyle w:val="ListBullet"/>
      </w:pPr>
      <w:r>
        <w:t>4. AG ONE activates subscription via POST /api/saas/subscriptions/{id}/activate.</w:t>
      </w:r>
    </w:p>
    <w:p>
      <w:pPr>
        <w:pStyle w:val="ListBullet"/>
      </w:pPr>
      <w:r>
        <w:t>5. TenantProvisioningWorker creates core.Tenants, core.Subscriptions, admin user, and roles.</w:t>
      </w:r>
    </w:p>
    <w:p>
      <w:pPr>
        <w:pStyle w:val="ListBullet"/>
      </w:pPr>
      <w:r>
        <w:t>6. MarketplaceSubscription.AzureSubscriptionId maps to Subscription → Tenant → Product (Learn).</w:t>
      </w:r>
    </w:p>
    <w:p>
      <w:pPr>
        <w:pStyle w:val="ListBullet"/>
      </w:pPr>
      <w:r>
        <w:t>7. User logs in via AG ONE (Entra ID OIDC).</w:t>
      </w:r>
    </w:p>
    <w:p>
      <w:pPr>
        <w:pStyle w:val="ListBullet"/>
      </w:pPr>
      <w:r>
        <w:t>8. AG ONE issues JWT in agone_sso_token cookie with tenant_id and entitlements.</w:t>
      </w:r>
    </w:p>
    <w:p>
      <w:pPr>
        <w:pStyle w:val="ListBullet"/>
      </w:pPr>
      <w:r>
        <w:t>9. User launches Learn from My Products; AgOneSsoMiddleware validates JWT.</w:t>
      </w:r>
    </w:p>
    <w:p>
      <w:pPr>
        <w:pStyle w:val="ListBullet"/>
      </w:pPr>
      <w:r>
        <w:t>10. Learn queries learn.* schema filtered by TenantId.</w:t>
      </w:r>
    </w:p>
    <w:p>
      <w:pPr>
        <w:pStyle w:val="Heading1"/>
      </w:pPr>
      <w:r>
        <w:t>4. SaaS Onboarding Flow</w:t>
      </w:r>
    </w:p>
    <w:p>
      <w:r>
        <w:t>See draw.io page: 3-SaaS-Onboarding-Flow</w:t>
      </w:r>
    </w:p>
    <w:tbl>
      <w:tblPr>
        <w:tblStyle w:val="TableGrid"/>
        <w:tblW w:type="auto" w:w="0"/>
        <w:tblLook w:firstColumn="1" w:firstRow="1" w:lastColumn="0" w:lastRow="0" w:noHBand="0" w:noVBand="1" w:val="04A0"/>
      </w:tblPr>
      <w:tblGrid>
        <w:gridCol w:w="2880"/>
        <w:gridCol w:w="2880"/>
        <w:gridCol w:w="2880"/>
      </w:tblGrid>
      <w:tr>
        <w:tc>
          <w:tcPr>
            <w:tcW w:type="dxa" w:w="2880"/>
            <w:shd w:fill="3B82F6" w:val="clear"/>
          </w:tcPr>
          <w:p>
            <w:r>
              <w:rPr>
                <w:b/>
                <w:color w:val="FFFFFF"/>
              </w:rPr>
              <w:t>Endpoint</w:t>
            </w:r>
          </w:p>
        </w:tc>
        <w:tc>
          <w:tcPr>
            <w:tcW w:type="dxa" w:w="2880"/>
            <w:shd w:fill="3B82F6" w:val="clear"/>
          </w:tcPr>
          <w:p>
            <w:r>
              <w:rPr>
                <w:b/>
                <w:color w:val="FFFFFF"/>
              </w:rPr>
              <w:t>Auth</w:t>
            </w:r>
          </w:p>
        </w:tc>
        <w:tc>
          <w:tcPr>
            <w:tcW w:type="dxa" w:w="2880"/>
            <w:shd w:fill="3B82F6" w:val="clear"/>
          </w:tcPr>
          <w:p>
            <w:r>
              <w:rPr>
                <w:b/>
                <w:color w:val="FFFFFF"/>
              </w:rPr>
              <w:t>Purpose</w:t>
            </w:r>
          </w:p>
        </w:tc>
      </w:tr>
      <w:tr>
        <w:tc>
          <w:tcPr>
            <w:tcW w:type="dxa" w:w="2880"/>
          </w:tcPr>
          <w:p>
            <w:r>
              <w:t>GET /marketplace/landing</w:t>
            </w:r>
          </w:p>
        </w:tc>
        <w:tc>
          <w:tcPr>
            <w:tcW w:type="dxa" w:w="2880"/>
          </w:tcPr>
          <w:p>
            <w:r>
              <w:t>Anonymous</w:t>
            </w:r>
          </w:p>
        </w:tc>
        <w:tc>
          <w:tcPr>
            <w:tcW w:type="dxa" w:w="2880"/>
          </w:tcPr>
          <w:p>
            <w:r>
              <w:t>Receives Marketplace redirect token</w:t>
            </w:r>
          </w:p>
        </w:tc>
      </w:tr>
      <w:tr>
        <w:tc>
          <w:tcPr>
            <w:tcW w:type="dxa" w:w="2880"/>
          </w:tcPr>
          <w:p>
            <w:r>
              <w:t>POST /api/marketplace/webhook</w:t>
            </w:r>
          </w:p>
        </w:tc>
        <w:tc>
          <w:tcPr>
            <w:tcW w:type="dxa" w:w="2880"/>
          </w:tcPr>
          <w:p>
            <w:r>
              <w:t>Marketplace signature</w:t>
            </w:r>
          </w:p>
        </w:tc>
        <w:tc>
          <w:tcPr>
            <w:tcW w:type="dxa" w:w="2880"/>
          </w:tcPr>
          <w:p>
            <w:r>
              <w:t>Receives lifecycle webhooks</w:t>
            </w:r>
          </w:p>
        </w:tc>
      </w:tr>
      <w:tr>
        <w:tc>
          <w:tcPr>
            <w:tcW w:type="dxa" w:w="2880"/>
          </w:tcPr>
          <w:p>
            <w:r>
              <w:t>GET /api/marketplace/subscriptions/{id}</w:t>
            </w:r>
          </w:p>
        </w:tc>
        <w:tc>
          <w:tcPr>
            <w:tcW w:type="dxa" w:w="2880"/>
          </w:tcPr>
          <w:p>
            <w:r>
              <w:t>Admin</w:t>
            </w:r>
          </w:p>
        </w:tc>
        <w:tc>
          <w:tcPr>
            <w:tcW w:type="dxa" w:w="2880"/>
          </w:tcPr>
          <w:p>
            <w:r>
              <w:t>Internal subscription status</w:t>
            </w:r>
          </w:p>
        </w:tc>
      </w:tr>
      <w:tr>
        <w:tc>
          <w:tcPr>
            <w:tcW w:type="dxa" w:w="2880"/>
          </w:tcPr>
          <w:p>
            <w:r>
              <w:t>POST /api/marketplace/onboarding/complete</w:t>
            </w:r>
          </w:p>
        </w:tc>
        <w:tc>
          <w:tcPr>
            <w:tcW w:type="dxa" w:w="2880"/>
          </w:tcPr>
          <w:p>
            <w:r>
              <w:t>Authenticated</w:t>
            </w:r>
          </w:p>
        </w:tc>
        <w:tc>
          <w:tcPr>
            <w:tcW w:type="dxa" w:w="2880"/>
          </w:tcPr>
          <w:p>
            <w:r>
              <w:t>Post-login onboarding wizard</w:t>
            </w:r>
          </w:p>
        </w:tc>
      </w:tr>
    </w:tbl>
    <w:p>
      <w:r>
        <w:t>Token Exchange (Fulfillment API v2):</w:t>
      </w:r>
    </w:p>
    <w:p>
      <w:pPr>
        <w:pStyle w:val="IntenseQuote"/>
      </w:pPr>
      <w:r>
        <w:t>POST https://marketplaceapi.microsoft.com/api/saas/subscriptions/resolve?api-version=2018-08-31</w:t>
        <w:br/>
        <w:t>Authorization: Bearer {AAD_token_for_Fulfillment_API}</w:t>
        <w:br/>
        <w:t>Body: { "token": "{marketplaceToken_from_redirect}" }</w:t>
      </w:r>
    </w:p>
    <w:p>
      <w:r>
        <w:t>Persist: id (Azure subscription ID), offerId, planId, quantity, purchaser.email, beneficiary.email, saasSubscriptionStatus.</w:t>
      </w:r>
    </w:p>
    <w:p>
      <w:pPr>
        <w:pStyle w:val="Heading1"/>
      </w:pPr>
      <w:r>
        <w:t>5. Database Design Changes</w:t>
      </w:r>
    </w:p>
    <w:p>
      <w:r>
        <w:t>See draw.io page: 4-Database-ER-Diagram</w:t>
      </w:r>
    </w:p>
    <w:p>
      <w:pPr>
        <w:pStyle w:val="Heading2"/>
      </w:pPr>
      <w:r>
        <w:t>5.1 Extend core.Tenants</w:t>
      </w:r>
    </w:p>
    <w:tbl>
      <w:tblPr>
        <w:tblStyle w:val="TableGrid"/>
        <w:tblW w:type="auto" w:w="0"/>
        <w:tblLook w:firstColumn="1" w:firstRow="1" w:lastColumn="0" w:lastRow="0" w:noHBand="0" w:noVBand="1" w:val="04A0"/>
      </w:tblPr>
      <w:tblGrid>
        <w:gridCol w:w="2880"/>
        <w:gridCol w:w="2880"/>
        <w:gridCol w:w="2880"/>
      </w:tblGrid>
      <w:tr>
        <w:tc>
          <w:tcPr>
            <w:tcW w:type="dxa" w:w="2880"/>
            <w:shd w:fill="3B82F6" w:val="clear"/>
          </w:tcPr>
          <w:p>
            <w:r>
              <w:rPr>
                <w:b/>
                <w:color w:val="FFFFFF"/>
              </w:rPr>
              <w:t>Column</w:t>
            </w:r>
          </w:p>
        </w:tc>
        <w:tc>
          <w:tcPr>
            <w:tcW w:type="dxa" w:w="2880"/>
            <w:shd w:fill="3B82F6" w:val="clear"/>
          </w:tcPr>
          <w:p>
            <w:r>
              <w:rPr>
                <w:b/>
                <w:color w:val="FFFFFF"/>
              </w:rPr>
              <w:t>Type</w:t>
            </w:r>
          </w:p>
        </w:tc>
        <w:tc>
          <w:tcPr>
            <w:tcW w:type="dxa" w:w="2880"/>
            <w:shd w:fill="3B82F6" w:val="clear"/>
          </w:tcPr>
          <w:p>
            <w:r>
              <w:rPr>
                <w:b/>
                <w:color w:val="FFFFFF"/>
              </w:rPr>
              <w:t>Description</w:t>
            </w:r>
          </w:p>
        </w:tc>
      </w:tr>
      <w:tr>
        <w:tc>
          <w:tcPr>
            <w:tcW w:type="dxa" w:w="2880"/>
          </w:tcPr>
          <w:p>
            <w:r>
              <w:t>Slug</w:t>
            </w:r>
          </w:p>
        </w:tc>
        <w:tc>
          <w:tcPr>
            <w:tcW w:type="dxa" w:w="2880"/>
          </w:tcPr>
          <w:p>
            <w:r>
              <w:t>NVARCHAR(100)</w:t>
            </w:r>
          </w:p>
        </w:tc>
        <w:tc>
          <w:tcPr>
            <w:tcW w:type="dxa" w:w="2880"/>
          </w:tcPr>
          <w:p>
            <w:r>
              <w:t>URL-friendly tenant identifier (unique)</w:t>
            </w:r>
          </w:p>
        </w:tc>
      </w:tr>
      <w:tr>
        <w:tc>
          <w:tcPr>
            <w:tcW w:type="dxa" w:w="2880"/>
          </w:tcPr>
          <w:p>
            <w:r>
              <w:t>ProvisioningSource</w:t>
            </w:r>
          </w:p>
        </w:tc>
        <w:tc>
          <w:tcPr>
            <w:tcW w:type="dxa" w:w="2880"/>
          </w:tcPr>
          <w:p>
            <w:r>
              <w:t>NVARCHAR(50)</w:t>
            </w:r>
          </w:p>
        </w:tc>
        <w:tc>
          <w:tcPr>
            <w:tcW w:type="dxa" w:w="2880"/>
          </w:tcPr>
          <w:p>
            <w:r>
              <w:t>Direct | Marketplace | Partner</w:t>
            </w:r>
          </w:p>
        </w:tc>
      </w:tr>
      <w:tr>
        <w:tc>
          <w:tcPr>
            <w:tcW w:type="dxa" w:w="2880"/>
          </w:tcPr>
          <w:p>
            <w:r>
              <w:t>Status</w:t>
            </w:r>
          </w:p>
        </w:tc>
        <w:tc>
          <w:tcPr>
            <w:tcW w:type="dxa" w:w="2880"/>
          </w:tcPr>
          <w:p>
            <w:r>
              <w:t>NVARCHAR(50)</w:t>
            </w:r>
          </w:p>
        </w:tc>
        <w:tc>
          <w:tcPr>
            <w:tcW w:type="dxa" w:w="2880"/>
          </w:tcPr>
          <w:p>
            <w:r>
              <w:t>Provisioning | Active | Suspended | Cancelled</w:t>
            </w:r>
          </w:p>
        </w:tc>
      </w:tr>
      <w:tr>
        <w:tc>
          <w:tcPr>
            <w:tcW w:type="dxa" w:w="2880"/>
          </w:tcPr>
          <w:p>
            <w:r>
              <w:t>AzurePurchaserTenantId</w:t>
            </w:r>
          </w:p>
        </w:tc>
        <w:tc>
          <w:tcPr>
            <w:tcW w:type="dxa" w:w="2880"/>
          </w:tcPr>
          <w:p>
            <w:r>
              <w:t>NVARCHAR(100)</w:t>
            </w:r>
          </w:p>
        </w:tc>
        <w:tc>
          <w:tcPr>
            <w:tcW w:type="dxa" w:w="2880"/>
          </w:tcPr>
          <w:p>
            <w:r>
              <w:t>Azure AD tenant of purchaser</w:t>
            </w:r>
          </w:p>
        </w:tc>
      </w:tr>
      <w:tr>
        <w:tc>
          <w:tcPr>
            <w:tcW w:type="dxa" w:w="2880"/>
          </w:tcPr>
          <w:p>
            <w:r>
              <w:t>OnboardingCompletedAt</w:t>
            </w:r>
          </w:p>
        </w:tc>
        <w:tc>
          <w:tcPr>
            <w:tcW w:type="dxa" w:w="2880"/>
          </w:tcPr>
          <w:p>
            <w:r>
              <w:t>DATETIME2</w:t>
            </w:r>
          </w:p>
        </w:tc>
        <w:tc>
          <w:tcPr>
            <w:tcW w:type="dxa" w:w="2880"/>
          </w:tcPr>
          <w:p>
            <w:r>
              <w:t>When onboarding wizard completed</w:t>
            </w:r>
          </w:p>
        </w:tc>
      </w:tr>
    </w:tbl>
    <w:p>
      <w:pPr>
        <w:pStyle w:val="Heading2"/>
      </w:pPr>
      <w:r>
        <w:t>5.2 Extend core.Products</w:t>
      </w:r>
    </w:p>
    <w:tbl>
      <w:tblPr>
        <w:tblStyle w:val="TableGrid"/>
        <w:tblW w:type="auto" w:w="0"/>
        <w:tblLook w:firstColumn="1" w:firstRow="1" w:lastColumn="0" w:lastRow="0" w:noHBand="0" w:noVBand="1" w:val="04A0"/>
      </w:tblPr>
      <w:tblGrid>
        <w:gridCol w:w="2880"/>
        <w:gridCol w:w="2880"/>
        <w:gridCol w:w="2880"/>
      </w:tblGrid>
      <w:tr>
        <w:tc>
          <w:tcPr>
            <w:tcW w:type="dxa" w:w="2880"/>
            <w:shd w:fill="3B82F6" w:val="clear"/>
          </w:tcPr>
          <w:p>
            <w:r>
              <w:rPr>
                <w:b/>
                <w:color w:val="FFFFFF"/>
              </w:rPr>
              <w:t>Column</w:t>
            </w:r>
          </w:p>
        </w:tc>
        <w:tc>
          <w:tcPr>
            <w:tcW w:type="dxa" w:w="2880"/>
            <w:shd w:fill="3B82F6" w:val="clear"/>
          </w:tcPr>
          <w:p>
            <w:r>
              <w:rPr>
                <w:b/>
                <w:color w:val="FFFFFF"/>
              </w:rPr>
              <w:t>Type</w:t>
            </w:r>
          </w:p>
        </w:tc>
        <w:tc>
          <w:tcPr>
            <w:tcW w:type="dxa" w:w="2880"/>
            <w:shd w:fill="3B82F6" w:val="clear"/>
          </w:tcPr>
          <w:p>
            <w:r>
              <w:rPr>
                <w:b/>
                <w:color w:val="FFFFFF"/>
              </w:rPr>
              <w:t>Description</w:t>
            </w:r>
          </w:p>
        </w:tc>
      </w:tr>
      <w:tr>
        <w:tc>
          <w:tcPr>
            <w:tcW w:type="dxa" w:w="2880"/>
          </w:tcPr>
          <w:p>
            <w:r>
              <w:t>MarketplaceOfferId</w:t>
            </w:r>
          </w:p>
        </w:tc>
        <w:tc>
          <w:tcPr>
            <w:tcW w:type="dxa" w:w="2880"/>
          </w:tcPr>
          <w:p>
            <w:r>
              <w:t>NVARCHAR(200)</w:t>
            </w:r>
          </w:p>
        </w:tc>
        <w:tc>
          <w:tcPr>
            <w:tcW w:type="dxa" w:w="2880"/>
          </w:tcPr>
          <w:p>
            <w:r>
              <w:t>e.g. agonelearn</w:t>
            </w:r>
          </w:p>
        </w:tc>
      </w:tr>
      <w:tr>
        <w:tc>
          <w:tcPr>
            <w:tcW w:type="dxa" w:w="2880"/>
          </w:tcPr>
          <w:p>
            <w:r>
              <w:t>MarketplacePublisherId</w:t>
            </w:r>
          </w:p>
        </w:tc>
        <w:tc>
          <w:tcPr>
            <w:tcW w:type="dxa" w:w="2880"/>
          </w:tcPr>
          <w:p>
            <w:r>
              <w:t>NVARCHAR(200)</w:t>
            </w:r>
          </w:p>
        </w:tc>
        <w:tc>
          <w:tcPr>
            <w:tcW w:type="dxa" w:w="2880"/>
          </w:tcPr>
          <w:p>
            <w:r>
              <w:t>Partner Center publisher ID</w:t>
            </w:r>
          </w:p>
        </w:tc>
      </w:tr>
      <w:tr>
        <w:tc>
          <w:tcPr>
            <w:tcW w:type="dxa" w:w="2880"/>
          </w:tcPr>
          <w:p>
            <w:r>
              <w:t>LandingPagePath</w:t>
            </w:r>
          </w:p>
        </w:tc>
        <w:tc>
          <w:tcPr>
            <w:tcW w:type="dxa" w:w="2880"/>
          </w:tcPr>
          <w:p>
            <w:r>
              <w:t>NVARCHAR(500)</w:t>
            </w:r>
          </w:p>
        </w:tc>
        <w:tc>
          <w:tcPr>
            <w:tcW w:type="dxa" w:w="2880"/>
          </w:tcPr>
          <w:p>
            <w:r>
              <w:t>/marketplace/landing</w:t>
            </w:r>
          </w:p>
        </w:tc>
      </w:tr>
      <w:tr>
        <w:tc>
          <w:tcPr>
            <w:tcW w:type="dxa" w:w="2880"/>
          </w:tcPr>
          <w:p>
            <w:r>
              <w:t>IsMarketplaceEnabled</w:t>
            </w:r>
          </w:p>
        </w:tc>
        <w:tc>
          <w:tcPr>
            <w:tcW w:type="dxa" w:w="2880"/>
          </w:tcPr>
          <w:p>
            <w:r>
              <w:t>BIT</w:t>
            </w:r>
          </w:p>
        </w:tc>
        <w:tc>
          <w:tcPr>
            <w:tcW w:type="dxa" w:w="2880"/>
          </w:tcPr>
          <w:p>
            <w:r>
              <w:t>Whether product is on Marketplace</w:t>
            </w:r>
          </w:p>
        </w:tc>
      </w:tr>
    </w:tbl>
    <w:p>
      <w:pPr>
        <w:pStyle w:val="Heading2"/>
      </w:pPr>
      <w:r>
        <w:t>5.3 Extend core.Subscriptions</w:t>
      </w:r>
    </w:p>
    <w:tbl>
      <w:tblPr>
        <w:tblStyle w:val="TableGrid"/>
        <w:tblW w:type="auto" w:w="0"/>
        <w:tblLook w:firstColumn="1" w:firstRow="1" w:lastColumn="0" w:lastRow="0" w:noHBand="0" w:noVBand="1" w:val="04A0"/>
      </w:tblPr>
      <w:tblGrid>
        <w:gridCol w:w="2880"/>
        <w:gridCol w:w="2880"/>
        <w:gridCol w:w="2880"/>
      </w:tblGrid>
      <w:tr>
        <w:tc>
          <w:tcPr>
            <w:tcW w:type="dxa" w:w="2880"/>
            <w:shd w:fill="3B82F6" w:val="clear"/>
          </w:tcPr>
          <w:p>
            <w:r>
              <w:rPr>
                <w:b/>
                <w:color w:val="FFFFFF"/>
              </w:rPr>
              <w:t>Column</w:t>
            </w:r>
          </w:p>
        </w:tc>
        <w:tc>
          <w:tcPr>
            <w:tcW w:type="dxa" w:w="2880"/>
            <w:shd w:fill="3B82F6" w:val="clear"/>
          </w:tcPr>
          <w:p>
            <w:r>
              <w:rPr>
                <w:b/>
                <w:color w:val="FFFFFF"/>
              </w:rPr>
              <w:t>Type</w:t>
            </w:r>
          </w:p>
        </w:tc>
        <w:tc>
          <w:tcPr>
            <w:tcW w:type="dxa" w:w="2880"/>
            <w:shd w:fill="3B82F6" w:val="clear"/>
          </w:tcPr>
          <w:p>
            <w:r>
              <w:rPr>
                <w:b/>
                <w:color w:val="FFFFFF"/>
              </w:rPr>
              <w:t>Description</w:t>
            </w:r>
          </w:p>
        </w:tc>
      </w:tr>
      <w:tr>
        <w:tc>
          <w:tcPr>
            <w:tcW w:type="dxa" w:w="2880"/>
          </w:tcPr>
          <w:p>
            <w:r>
              <w:t>BillingSource</w:t>
            </w:r>
          </w:p>
        </w:tc>
        <w:tc>
          <w:tcPr>
            <w:tcW w:type="dxa" w:w="2880"/>
          </w:tcPr>
          <w:p>
            <w:r>
              <w:t>NVARCHAR(50)</w:t>
            </w:r>
          </w:p>
        </w:tc>
        <w:tc>
          <w:tcPr>
            <w:tcW w:type="dxa" w:w="2880"/>
          </w:tcPr>
          <w:p>
            <w:r>
              <w:t>Direct | AzureMarketplace</w:t>
            </w:r>
          </w:p>
        </w:tc>
      </w:tr>
      <w:tr>
        <w:tc>
          <w:tcPr>
            <w:tcW w:type="dxa" w:w="2880"/>
          </w:tcPr>
          <w:p>
            <w:r>
              <w:t>ExternalSubscriptionId</w:t>
            </w:r>
          </w:p>
        </w:tc>
        <w:tc>
          <w:tcPr>
            <w:tcW w:type="dxa" w:w="2880"/>
          </w:tcPr>
          <w:p>
            <w:r>
              <w:t>NVARCHAR(200)</w:t>
            </w:r>
          </w:p>
        </w:tc>
        <w:tc>
          <w:tcPr>
            <w:tcW w:type="dxa" w:w="2880"/>
          </w:tcPr>
          <w:p>
            <w:r>
              <w:t>Azure subscription ID</w:t>
            </w:r>
          </w:p>
        </w:tc>
      </w:tr>
      <w:tr>
        <w:tc>
          <w:tcPr>
            <w:tcW w:type="dxa" w:w="2880"/>
          </w:tcPr>
          <w:p>
            <w:r>
              <w:t>SuspendedAt</w:t>
            </w:r>
          </w:p>
        </w:tc>
        <w:tc>
          <w:tcPr>
            <w:tcW w:type="dxa" w:w="2880"/>
          </w:tcPr>
          <w:p>
            <w:r>
              <w:t>DATETIME2</w:t>
            </w:r>
          </w:p>
        </w:tc>
        <w:tc>
          <w:tcPr>
            <w:tcW w:type="dxa" w:w="2880"/>
          </w:tcPr>
          <w:p>
            <w:r>
              <w:t>When suspended</w:t>
            </w:r>
          </w:p>
        </w:tc>
      </w:tr>
      <w:tr>
        <w:tc>
          <w:tcPr>
            <w:tcW w:type="dxa" w:w="2880"/>
          </w:tcPr>
          <w:p>
            <w:r>
              <w:t>CancelledAt</w:t>
            </w:r>
          </w:p>
        </w:tc>
        <w:tc>
          <w:tcPr>
            <w:tcW w:type="dxa" w:w="2880"/>
          </w:tcPr>
          <w:p>
            <w:r>
              <w:t>DATETIME2</w:t>
            </w:r>
          </w:p>
        </w:tc>
        <w:tc>
          <w:tcPr>
            <w:tcW w:type="dxa" w:w="2880"/>
          </w:tcPr>
          <w:p>
            <w:r>
              <w:t>When cancelled</w:t>
            </w:r>
          </w:p>
        </w:tc>
      </w:tr>
    </w:tbl>
    <w:p>
      <w:pPr>
        <w:pStyle w:val="Heading2"/>
      </w:pPr>
      <w:r>
        <w:t>5.4 New Table: core.MarketplaceSubscriptions</w:t>
      </w:r>
    </w:p>
    <w:tbl>
      <w:tblPr>
        <w:tblStyle w:val="TableGrid"/>
        <w:tblW w:type="auto" w:w="0"/>
        <w:tblLook w:firstColumn="1" w:firstRow="1" w:lastColumn="0" w:lastRow="0" w:noHBand="0" w:noVBand="1" w:val="04A0"/>
      </w:tblPr>
      <w:tblGrid>
        <w:gridCol w:w="2880"/>
        <w:gridCol w:w="2880"/>
        <w:gridCol w:w="2880"/>
      </w:tblGrid>
      <w:tr>
        <w:tc>
          <w:tcPr>
            <w:tcW w:type="dxa" w:w="2880"/>
            <w:shd w:fill="3B82F6" w:val="clear"/>
          </w:tcPr>
          <w:p>
            <w:r>
              <w:rPr>
                <w:b/>
                <w:color w:val="FFFFFF"/>
              </w:rPr>
              <w:t>Column</w:t>
            </w:r>
          </w:p>
        </w:tc>
        <w:tc>
          <w:tcPr>
            <w:tcW w:type="dxa" w:w="2880"/>
            <w:shd w:fill="3B82F6" w:val="clear"/>
          </w:tcPr>
          <w:p>
            <w:r>
              <w:rPr>
                <w:b/>
                <w:color w:val="FFFFFF"/>
              </w:rPr>
              <w:t>Type</w:t>
            </w:r>
          </w:p>
        </w:tc>
        <w:tc>
          <w:tcPr>
            <w:tcW w:type="dxa" w:w="2880"/>
            <w:shd w:fill="3B82F6" w:val="clear"/>
          </w:tcPr>
          <w:p>
            <w:r>
              <w:rPr>
                <w:b/>
                <w:color w:val="FFFFFF"/>
              </w:rPr>
              <w:t>Description</w:t>
            </w:r>
          </w:p>
        </w:tc>
      </w:tr>
      <w:tr>
        <w:tc>
          <w:tcPr>
            <w:tcW w:type="dxa" w:w="2880"/>
          </w:tcPr>
          <w:p>
            <w:r>
              <w:t>Id</w:t>
            </w:r>
          </w:p>
        </w:tc>
        <w:tc>
          <w:tcPr>
            <w:tcW w:type="dxa" w:w="2880"/>
          </w:tcPr>
          <w:p>
            <w:r>
              <w:t>UNIQUEIDENTIFIER PK</w:t>
            </w:r>
          </w:p>
        </w:tc>
        <w:tc>
          <w:tcPr>
            <w:tcW w:type="dxa" w:w="2880"/>
          </w:tcPr>
          <w:p>
            <w:r>
              <w:t>Internal ID</w:t>
            </w:r>
          </w:p>
        </w:tc>
      </w:tr>
      <w:tr>
        <w:tc>
          <w:tcPr>
            <w:tcW w:type="dxa" w:w="2880"/>
          </w:tcPr>
          <w:p>
            <w:r>
              <w:t>SubscriptionId</w:t>
            </w:r>
          </w:p>
        </w:tc>
        <w:tc>
          <w:tcPr>
            <w:tcW w:type="dxa" w:w="2880"/>
          </w:tcPr>
          <w:p>
            <w:r>
              <w:t>UNIQUEIDENTIFIER FK</w:t>
            </w:r>
          </w:p>
        </w:tc>
        <w:tc>
          <w:tcPr>
            <w:tcW w:type="dxa" w:w="2880"/>
          </w:tcPr>
          <w:p>
            <w:r>
              <w:t>Links to core.Subscriptions</w:t>
            </w:r>
          </w:p>
        </w:tc>
      </w:tr>
      <w:tr>
        <w:tc>
          <w:tcPr>
            <w:tcW w:type="dxa" w:w="2880"/>
          </w:tcPr>
          <w:p>
            <w:r>
              <w:t>AzureSubscriptionId</w:t>
            </w:r>
          </w:p>
        </w:tc>
        <w:tc>
          <w:tcPr>
            <w:tcW w:type="dxa" w:w="2880"/>
          </w:tcPr>
          <w:p>
            <w:r>
              <w:t>NVARCHAR(200) UK</w:t>
            </w:r>
          </w:p>
        </w:tc>
        <w:tc>
          <w:tcPr>
            <w:tcW w:type="dxa" w:w="2880"/>
          </w:tcPr>
          <w:p>
            <w:r>
              <w:t>Marketplace subscription ID</w:t>
            </w:r>
          </w:p>
        </w:tc>
      </w:tr>
      <w:tr>
        <w:tc>
          <w:tcPr>
            <w:tcW w:type="dxa" w:w="2880"/>
          </w:tcPr>
          <w:p>
            <w:r>
              <w:t>OfferId</w:t>
            </w:r>
          </w:p>
        </w:tc>
        <w:tc>
          <w:tcPr>
            <w:tcW w:type="dxa" w:w="2880"/>
          </w:tcPr>
          <w:p>
            <w:r>
              <w:t>NVARCHAR(200)</w:t>
            </w:r>
          </w:p>
        </w:tc>
        <w:tc>
          <w:tcPr>
            <w:tcW w:type="dxa" w:w="2880"/>
          </w:tcPr>
          <w:p>
            <w:r>
              <w:t>Marketplace offer ID</w:t>
            </w:r>
          </w:p>
        </w:tc>
      </w:tr>
      <w:tr>
        <w:tc>
          <w:tcPr>
            <w:tcW w:type="dxa" w:w="2880"/>
          </w:tcPr>
          <w:p>
            <w:r>
              <w:t>PlanId</w:t>
            </w:r>
          </w:p>
        </w:tc>
        <w:tc>
          <w:tcPr>
            <w:tcW w:type="dxa" w:w="2880"/>
          </w:tcPr>
          <w:p>
            <w:r>
              <w:t>NVARCHAR(100)</w:t>
            </w:r>
          </w:p>
        </w:tc>
        <w:tc>
          <w:tcPr>
            <w:tcW w:type="dxa" w:w="2880"/>
          </w:tcPr>
          <w:p>
            <w:r>
              <w:t>Selected plan</w:t>
            </w:r>
          </w:p>
        </w:tc>
      </w:tr>
      <w:tr>
        <w:tc>
          <w:tcPr>
            <w:tcW w:type="dxa" w:w="2880"/>
          </w:tcPr>
          <w:p>
            <w:r>
              <w:t>ProductId</w:t>
            </w:r>
          </w:p>
        </w:tc>
        <w:tc>
          <w:tcPr>
            <w:tcW w:type="dxa" w:w="2880"/>
          </w:tcPr>
          <w:p>
            <w:r>
              <w:t>UNIQUEIDENTIFIER FK</w:t>
            </w:r>
          </w:p>
        </w:tc>
        <w:tc>
          <w:tcPr>
            <w:tcW w:type="dxa" w:w="2880"/>
          </w:tcPr>
          <w:p>
            <w:r>
              <w:t>AG ONE Learn product ID</w:t>
            </w:r>
          </w:p>
        </w:tc>
      </w:tr>
      <w:tr>
        <w:tc>
          <w:tcPr>
            <w:tcW w:type="dxa" w:w="2880"/>
          </w:tcPr>
          <w:p>
            <w:r>
              <w:t>SaasStatus</w:t>
            </w:r>
          </w:p>
        </w:tc>
        <w:tc>
          <w:tcPr>
            <w:tcW w:type="dxa" w:w="2880"/>
          </w:tcPr>
          <w:p>
            <w:r>
              <w:t>NVARCHAR(50)</w:t>
            </w:r>
          </w:p>
        </w:tc>
        <w:tc>
          <w:tcPr>
            <w:tcW w:type="dxa" w:w="2880"/>
          </w:tcPr>
          <w:p>
            <w:r>
              <w:t>PendingFulfillmentStart | Subscribed | Suspended | Unsubscribed</w:t>
            </w:r>
          </w:p>
        </w:tc>
      </w:tr>
      <w:tr>
        <w:tc>
          <w:tcPr>
            <w:tcW w:type="dxa" w:w="2880"/>
          </w:tcPr>
          <w:p>
            <w:r>
              <w:t>PurchaserEmail</w:t>
            </w:r>
          </w:p>
        </w:tc>
        <w:tc>
          <w:tcPr>
            <w:tcW w:type="dxa" w:w="2880"/>
          </w:tcPr>
          <w:p>
            <w:r>
              <w:t>NVARCHAR(256)</w:t>
            </w:r>
          </w:p>
        </w:tc>
        <w:tc>
          <w:tcPr>
            <w:tcW w:type="dxa" w:w="2880"/>
          </w:tcPr>
          <w:p>
            <w:r>
              <w:t>Buyer email</w:t>
            </w:r>
          </w:p>
        </w:tc>
      </w:tr>
      <w:tr>
        <w:tc>
          <w:tcPr>
            <w:tcW w:type="dxa" w:w="2880"/>
          </w:tcPr>
          <w:p>
            <w:r>
              <w:t>BeneficiaryEmail</w:t>
            </w:r>
          </w:p>
        </w:tc>
        <w:tc>
          <w:tcPr>
            <w:tcW w:type="dxa" w:w="2880"/>
          </w:tcPr>
          <w:p>
            <w:r>
              <w:t>NVARCHAR(256)</w:t>
            </w:r>
          </w:p>
        </w:tc>
        <w:tc>
          <w:tcPr>
            <w:tcW w:type="dxa" w:w="2880"/>
          </w:tcPr>
          <w:p>
            <w:r>
              <w:t>End-user email if different</w:t>
            </w:r>
          </w:p>
        </w:tc>
      </w:tr>
      <w:tr>
        <w:tc>
          <w:tcPr>
            <w:tcW w:type="dxa" w:w="2880"/>
          </w:tcPr>
          <w:p>
            <w:r>
              <w:t>Quantity</w:t>
            </w:r>
          </w:p>
        </w:tc>
        <w:tc>
          <w:tcPr>
            <w:tcW w:type="dxa" w:w="2880"/>
          </w:tcPr>
          <w:p>
            <w:r>
              <w:t>INT</w:t>
            </w:r>
          </w:p>
        </w:tc>
        <w:tc>
          <w:tcPr>
            <w:tcW w:type="dxa" w:w="2880"/>
          </w:tcPr>
          <w:p>
            <w:r>
              <w:t>License seats</w:t>
            </w:r>
          </w:p>
        </w:tc>
      </w:tr>
      <w:tr>
        <w:tc>
          <w:tcPr>
            <w:tcW w:type="dxa" w:w="2880"/>
          </w:tcPr>
          <w:p>
            <w:r>
              <w:t>ResolvedAt</w:t>
            </w:r>
          </w:p>
        </w:tc>
        <w:tc>
          <w:tcPr>
            <w:tcW w:type="dxa" w:w="2880"/>
          </w:tcPr>
          <w:p>
            <w:r>
              <w:t>DATETIME2</w:t>
            </w:r>
          </w:p>
        </w:tc>
        <w:tc>
          <w:tcPr>
            <w:tcW w:type="dxa" w:w="2880"/>
          </w:tcPr>
          <w:p>
            <w:r>
              <w:t>Token resolve timestamp</w:t>
            </w:r>
          </w:p>
        </w:tc>
      </w:tr>
      <w:tr>
        <w:tc>
          <w:tcPr>
            <w:tcW w:type="dxa" w:w="2880"/>
          </w:tcPr>
          <w:p>
            <w:r>
              <w:t>ActivatedAt</w:t>
            </w:r>
          </w:p>
        </w:tc>
        <w:tc>
          <w:tcPr>
            <w:tcW w:type="dxa" w:w="2880"/>
          </w:tcPr>
          <w:p>
            <w:r>
              <w:t>DATETIME2</w:t>
            </w:r>
          </w:p>
        </w:tc>
        <w:tc>
          <w:tcPr>
            <w:tcW w:type="dxa" w:w="2880"/>
          </w:tcPr>
          <w:p>
            <w:r>
              <w:t>Activation timestamp</w:t>
            </w:r>
          </w:p>
        </w:tc>
      </w:tr>
    </w:tbl>
    <w:p>
      <w:pPr>
        <w:pStyle w:val="Heading2"/>
      </w:pPr>
      <w:r>
        <w:t>5.5 New Table: core.MarketplaceWebhookEvents</w:t>
      </w:r>
    </w:p>
    <w:tbl>
      <w:tblPr>
        <w:tblStyle w:val="TableGrid"/>
        <w:tblW w:type="auto" w:w="0"/>
        <w:tblLook w:firstColumn="1" w:firstRow="1" w:lastColumn="0" w:lastRow="0" w:noHBand="0" w:noVBand="1" w:val="04A0"/>
      </w:tblPr>
      <w:tblGrid>
        <w:gridCol w:w="2880"/>
        <w:gridCol w:w="2880"/>
        <w:gridCol w:w="2880"/>
      </w:tblGrid>
      <w:tr>
        <w:tc>
          <w:tcPr>
            <w:tcW w:type="dxa" w:w="2880"/>
            <w:shd w:fill="3B82F6" w:val="clear"/>
          </w:tcPr>
          <w:p>
            <w:r>
              <w:rPr>
                <w:b/>
                <w:color w:val="FFFFFF"/>
              </w:rPr>
              <w:t>Column</w:t>
            </w:r>
          </w:p>
        </w:tc>
        <w:tc>
          <w:tcPr>
            <w:tcW w:type="dxa" w:w="2880"/>
            <w:shd w:fill="3B82F6" w:val="clear"/>
          </w:tcPr>
          <w:p>
            <w:r>
              <w:rPr>
                <w:b/>
                <w:color w:val="FFFFFF"/>
              </w:rPr>
              <w:t>Type</w:t>
            </w:r>
          </w:p>
        </w:tc>
        <w:tc>
          <w:tcPr>
            <w:tcW w:type="dxa" w:w="2880"/>
            <w:shd w:fill="3B82F6" w:val="clear"/>
          </w:tcPr>
          <w:p>
            <w:r>
              <w:rPr>
                <w:b/>
                <w:color w:val="FFFFFF"/>
              </w:rPr>
              <w:t>Description</w:t>
            </w:r>
          </w:p>
        </w:tc>
      </w:tr>
      <w:tr>
        <w:tc>
          <w:tcPr>
            <w:tcW w:type="dxa" w:w="2880"/>
          </w:tcPr>
          <w:p>
            <w:r>
              <w:t>Id</w:t>
            </w:r>
          </w:p>
        </w:tc>
        <w:tc>
          <w:tcPr>
            <w:tcW w:type="dxa" w:w="2880"/>
          </w:tcPr>
          <w:p>
            <w:r>
              <w:t>UNIQUEIDENTIFIER PK</w:t>
            </w:r>
          </w:p>
        </w:tc>
        <w:tc>
          <w:tcPr>
            <w:tcW w:type="dxa" w:w="2880"/>
          </w:tcPr>
          <w:p>
            <w:r>
              <w:t>Event ID</w:t>
            </w:r>
          </w:p>
        </w:tc>
      </w:tr>
      <w:tr>
        <w:tc>
          <w:tcPr>
            <w:tcW w:type="dxa" w:w="2880"/>
          </w:tcPr>
          <w:p>
            <w:r>
              <w:t>AzureSubscriptionId</w:t>
            </w:r>
          </w:p>
        </w:tc>
        <w:tc>
          <w:tcPr>
            <w:tcW w:type="dxa" w:w="2880"/>
          </w:tcPr>
          <w:p>
            <w:r>
              <w:t>NVARCHAR(200)</w:t>
            </w:r>
          </w:p>
        </w:tc>
        <w:tc>
          <w:tcPr>
            <w:tcW w:type="dxa" w:w="2880"/>
          </w:tcPr>
          <w:p>
            <w:r>
              <w:t>Related subscription</w:t>
            </w:r>
          </w:p>
        </w:tc>
      </w:tr>
      <w:tr>
        <w:tc>
          <w:tcPr>
            <w:tcW w:type="dxa" w:w="2880"/>
          </w:tcPr>
          <w:p>
            <w:r>
              <w:t>Action</w:t>
            </w:r>
          </w:p>
        </w:tc>
        <w:tc>
          <w:tcPr>
            <w:tcW w:type="dxa" w:w="2880"/>
          </w:tcPr>
          <w:p>
            <w:r>
              <w:t>NVARCHAR(100)</w:t>
            </w:r>
          </w:p>
        </w:tc>
        <w:tc>
          <w:tcPr>
            <w:tcW w:type="dxa" w:w="2880"/>
          </w:tcPr>
          <w:p>
            <w:r>
              <w:t>Unsubscribe | ChangePlan | ChangeQuantity | Suspend | Reinstate</w:t>
            </w:r>
          </w:p>
        </w:tc>
      </w:tr>
      <w:tr>
        <w:tc>
          <w:tcPr>
            <w:tcW w:type="dxa" w:w="2880"/>
          </w:tcPr>
          <w:p>
            <w:r>
              <w:t>Status</w:t>
            </w:r>
          </w:p>
        </w:tc>
        <w:tc>
          <w:tcPr>
            <w:tcW w:type="dxa" w:w="2880"/>
          </w:tcPr>
          <w:p>
            <w:r>
              <w:t>NVARCHAR(50)</w:t>
            </w:r>
          </w:p>
        </w:tc>
        <w:tc>
          <w:tcPr>
            <w:tcW w:type="dxa" w:w="2880"/>
          </w:tcPr>
          <w:p>
            <w:r>
              <w:t>Received | Processed | Failed</w:t>
            </w:r>
          </w:p>
        </w:tc>
      </w:tr>
      <w:tr>
        <w:tc>
          <w:tcPr>
            <w:tcW w:type="dxa" w:w="2880"/>
          </w:tcPr>
          <w:p>
            <w:r>
              <w:t>IdempotencyKey</w:t>
            </w:r>
          </w:p>
        </w:tc>
        <w:tc>
          <w:tcPr>
            <w:tcW w:type="dxa" w:w="2880"/>
          </w:tcPr>
          <w:p>
            <w:r>
              <w:t>NVARCHAR(200) UK</w:t>
            </w:r>
          </w:p>
        </w:tc>
        <w:tc>
          <w:tcPr>
            <w:tcW w:type="dxa" w:w="2880"/>
          </w:tcPr>
          <w:p>
            <w:r>
              <w:t>Prevents duplicate processing</w:t>
            </w:r>
          </w:p>
        </w:tc>
      </w:tr>
      <w:tr>
        <w:tc>
          <w:tcPr>
            <w:tcW w:type="dxa" w:w="2880"/>
          </w:tcPr>
          <w:p>
            <w:r>
              <w:t>PayloadJson</w:t>
            </w:r>
          </w:p>
        </w:tc>
        <w:tc>
          <w:tcPr>
            <w:tcW w:type="dxa" w:w="2880"/>
          </w:tcPr>
          <w:p>
            <w:r>
              <w:t>NVARCHAR(MAX)</w:t>
            </w:r>
          </w:p>
        </w:tc>
        <w:tc>
          <w:tcPr>
            <w:tcW w:type="dxa" w:w="2880"/>
          </w:tcPr>
          <w:p>
            <w:r>
              <w:t>Raw webhook payload</w:t>
            </w:r>
          </w:p>
        </w:tc>
      </w:tr>
    </w:tbl>
    <w:p>
      <w:pPr>
        <w:pStyle w:val="Heading2"/>
      </w:pPr>
      <w:r>
        <w:t>5.6 New Table: core.TenantProvisioningJobs</w:t>
      </w:r>
    </w:p>
    <w:tbl>
      <w:tblPr>
        <w:tblStyle w:val="TableGrid"/>
        <w:tblW w:type="auto" w:w="0"/>
        <w:tblLook w:firstColumn="1" w:firstRow="1" w:lastColumn="0" w:lastRow="0" w:noHBand="0" w:noVBand="1" w:val="04A0"/>
      </w:tblPr>
      <w:tblGrid>
        <w:gridCol w:w="2880"/>
        <w:gridCol w:w="2880"/>
        <w:gridCol w:w="2880"/>
      </w:tblGrid>
      <w:tr>
        <w:tc>
          <w:tcPr>
            <w:tcW w:type="dxa" w:w="2880"/>
            <w:shd w:fill="3B82F6" w:val="clear"/>
          </w:tcPr>
          <w:p>
            <w:r>
              <w:rPr>
                <w:b/>
                <w:color w:val="FFFFFF"/>
              </w:rPr>
              <w:t>Column</w:t>
            </w:r>
          </w:p>
        </w:tc>
        <w:tc>
          <w:tcPr>
            <w:tcW w:type="dxa" w:w="2880"/>
            <w:shd w:fill="3B82F6" w:val="clear"/>
          </w:tcPr>
          <w:p>
            <w:r>
              <w:rPr>
                <w:b/>
                <w:color w:val="FFFFFF"/>
              </w:rPr>
              <w:t>Type</w:t>
            </w:r>
          </w:p>
        </w:tc>
        <w:tc>
          <w:tcPr>
            <w:tcW w:type="dxa" w:w="2880"/>
            <w:shd w:fill="3B82F6" w:val="clear"/>
          </w:tcPr>
          <w:p>
            <w:r>
              <w:rPr>
                <w:b/>
                <w:color w:val="FFFFFF"/>
              </w:rPr>
              <w:t>Description</w:t>
            </w:r>
          </w:p>
        </w:tc>
      </w:tr>
      <w:tr>
        <w:tc>
          <w:tcPr>
            <w:tcW w:type="dxa" w:w="2880"/>
          </w:tcPr>
          <w:p>
            <w:r>
              <w:t>Id</w:t>
            </w:r>
          </w:p>
        </w:tc>
        <w:tc>
          <w:tcPr>
            <w:tcW w:type="dxa" w:w="2880"/>
          </w:tcPr>
          <w:p>
            <w:r>
              <w:t>UNIQUEIDENTIFIER PK</w:t>
            </w:r>
          </w:p>
        </w:tc>
        <w:tc>
          <w:tcPr>
            <w:tcW w:type="dxa" w:w="2880"/>
          </w:tcPr>
          <w:p>
            <w:r>
              <w:t>Job ID</w:t>
            </w:r>
          </w:p>
        </w:tc>
      </w:tr>
      <w:tr>
        <w:tc>
          <w:tcPr>
            <w:tcW w:type="dxa" w:w="2880"/>
          </w:tcPr>
          <w:p>
            <w:r>
              <w:t>MarketplaceSubscriptionId</w:t>
            </w:r>
          </w:p>
        </w:tc>
        <w:tc>
          <w:tcPr>
            <w:tcW w:type="dxa" w:w="2880"/>
          </w:tcPr>
          <w:p>
            <w:r>
              <w:t>UNIQUEIDENTIFIER FK</w:t>
            </w:r>
          </w:p>
        </w:tc>
        <w:tc>
          <w:tcPr>
            <w:tcW w:type="dxa" w:w="2880"/>
          </w:tcPr>
          <w:p>
            <w:r>
              <w:t>Source subscription</w:t>
            </w:r>
          </w:p>
        </w:tc>
      </w:tr>
      <w:tr>
        <w:tc>
          <w:tcPr>
            <w:tcW w:type="dxa" w:w="2880"/>
          </w:tcPr>
          <w:p>
            <w:r>
              <w:t>TenantId</w:t>
            </w:r>
          </w:p>
        </w:tc>
        <w:tc>
          <w:tcPr>
            <w:tcW w:type="dxa" w:w="2880"/>
          </w:tcPr>
          <w:p>
            <w:r>
              <w:t>UNIQUEIDENTIFIER</w:t>
            </w:r>
          </w:p>
        </w:tc>
        <w:tc>
          <w:tcPr>
            <w:tcW w:type="dxa" w:w="2880"/>
          </w:tcPr>
          <w:p>
            <w:r>
              <w:t>Created tenant (after success)</w:t>
            </w:r>
          </w:p>
        </w:tc>
      </w:tr>
      <w:tr>
        <w:tc>
          <w:tcPr>
            <w:tcW w:type="dxa" w:w="2880"/>
          </w:tcPr>
          <w:p>
            <w:r>
              <w:t>Status</w:t>
            </w:r>
          </w:p>
        </w:tc>
        <w:tc>
          <w:tcPr>
            <w:tcW w:type="dxa" w:w="2880"/>
          </w:tcPr>
          <w:p>
            <w:r>
              <w:t>NVARCHAR(50)</w:t>
            </w:r>
          </w:p>
        </w:tc>
        <w:tc>
          <w:tcPr>
            <w:tcW w:type="dxa" w:w="2880"/>
          </w:tcPr>
          <w:p>
            <w:r>
              <w:t>Queued | Running | Completed | Failed</w:t>
            </w:r>
          </w:p>
        </w:tc>
      </w:tr>
      <w:tr>
        <w:tc>
          <w:tcPr>
            <w:tcW w:type="dxa" w:w="2880"/>
          </w:tcPr>
          <w:p>
            <w:r>
              <w:t>Step</w:t>
            </w:r>
          </w:p>
        </w:tc>
        <w:tc>
          <w:tcPr>
            <w:tcW w:type="dxa" w:w="2880"/>
          </w:tcPr>
          <w:p>
            <w:r>
              <w:t>NVARCHAR(100)</w:t>
            </w:r>
          </w:p>
        </w:tc>
        <w:tc>
          <w:tcPr>
            <w:tcW w:type="dxa" w:w="2880"/>
          </w:tcPr>
          <w:p>
            <w:r>
              <w:t>Current provisioning step</w:t>
            </w:r>
          </w:p>
        </w:tc>
      </w:tr>
      <w:tr>
        <w:tc>
          <w:tcPr>
            <w:tcW w:type="dxa" w:w="2880"/>
          </w:tcPr>
          <w:p>
            <w:r>
              <w:t>AttemptCount</w:t>
            </w:r>
          </w:p>
        </w:tc>
        <w:tc>
          <w:tcPr>
            <w:tcW w:type="dxa" w:w="2880"/>
          </w:tcPr>
          <w:p>
            <w:r>
              <w:t>INT</w:t>
            </w:r>
          </w:p>
        </w:tc>
        <w:tc>
          <w:tcPr>
            <w:tcW w:type="dxa" w:w="2880"/>
          </w:tcPr>
          <w:p>
            <w:r>
              <w:t>Retry count</w:t>
            </w:r>
          </w:p>
        </w:tc>
      </w:tr>
    </w:tbl>
    <w:p>
      <w:pPr>
        <w:pStyle w:val="Heading2"/>
      </w:pPr>
      <w:r>
        <w:t>5.7 Mapping Chain</w:t>
      </w:r>
    </w:p>
    <w:p>
      <w:r>
        <w:t>Azure Marketplace subscriptionId → core.MarketplaceSubscriptions.AzureSubscriptionId → core.MarketplaceSubscriptions.SubscriptionId → core.Subscriptions (TenantId + ProductId) → core.Tenants.Id → learn.* (TenantId on all rows)</w:t>
      </w:r>
    </w:p>
    <w:p>
      <w:pPr>
        <w:pStyle w:val="Heading1"/>
      </w:pPr>
      <w:r>
        <w:t>6. Azure Marketplace Integration Design</w:t>
      </w:r>
    </w:p>
    <w:p>
      <w:r>
        <w:t>See draw.io pages: 5-Integration-Design, 9-Subscription-Lifecycle</w:t>
      </w:r>
    </w:p>
    <w:tbl>
      <w:tblPr>
        <w:tblStyle w:val="TableGrid"/>
        <w:tblW w:type="auto" w:w="0"/>
        <w:tblLook w:firstColumn="1" w:firstRow="1" w:lastColumn="0" w:lastRow="0" w:noHBand="0" w:noVBand="1" w:val="04A0"/>
      </w:tblPr>
      <w:tblGrid>
        <w:gridCol w:w="2880"/>
        <w:gridCol w:w="2880"/>
        <w:gridCol w:w="2880"/>
      </w:tblGrid>
      <w:tr>
        <w:tc>
          <w:tcPr>
            <w:tcW w:type="dxa" w:w="2880"/>
            <w:shd w:fill="3B82F6" w:val="clear"/>
          </w:tcPr>
          <w:p>
            <w:r>
              <w:rPr>
                <w:b/>
                <w:color w:val="FFFFFF"/>
              </w:rPr>
              <w:t>Fulfillment API Method</w:t>
            </w:r>
          </w:p>
        </w:tc>
        <w:tc>
          <w:tcPr>
            <w:tcW w:type="dxa" w:w="2880"/>
            <w:shd w:fill="3B82F6" w:val="clear"/>
          </w:tcPr>
          <w:p>
            <w:r>
              <w:rPr>
                <w:b/>
                <w:color w:val="FFFFFF"/>
              </w:rPr>
              <w:t>Endpoint</w:t>
            </w:r>
          </w:p>
        </w:tc>
        <w:tc>
          <w:tcPr>
            <w:tcW w:type="dxa" w:w="2880"/>
            <w:shd w:fill="3B82F6" w:val="clear"/>
          </w:tcPr>
          <w:p>
            <w:r>
              <w:rPr>
                <w:b/>
                <w:color w:val="FFFFFF"/>
              </w:rPr>
              <w:t>When Used</w:t>
            </w:r>
          </w:p>
        </w:tc>
      </w:tr>
      <w:tr>
        <w:tc>
          <w:tcPr>
            <w:tcW w:type="dxa" w:w="2880"/>
          </w:tcPr>
          <w:p>
            <w:r>
              <w:t>ResolveToken</w:t>
            </w:r>
          </w:p>
        </w:tc>
        <w:tc>
          <w:tcPr>
            <w:tcW w:type="dxa" w:w="2880"/>
          </w:tcPr>
          <w:p>
            <w:r>
              <w:t>POST /subscriptions/resolve</w:t>
            </w:r>
          </w:p>
        </w:tc>
        <w:tc>
          <w:tcPr>
            <w:tcW w:type="dxa" w:w="2880"/>
          </w:tcPr>
          <w:p>
            <w:r>
              <w:t>Landing page token exchange</w:t>
            </w:r>
          </w:p>
        </w:tc>
      </w:tr>
      <w:tr>
        <w:tc>
          <w:tcPr>
            <w:tcW w:type="dxa" w:w="2880"/>
          </w:tcPr>
          <w:p>
            <w:r>
              <w:t>Activate</w:t>
            </w:r>
          </w:p>
        </w:tc>
        <w:tc>
          <w:tcPr>
            <w:tcW w:type="dxa" w:w="2880"/>
          </w:tcPr>
          <w:p>
            <w:r>
              <w:t>POST /subscriptions/{id}/activate</w:t>
            </w:r>
          </w:p>
        </w:tc>
        <w:tc>
          <w:tcPr>
            <w:tcW w:type="dxa" w:w="2880"/>
          </w:tcPr>
          <w:p>
            <w:r>
              <w:t>After successful resolve</w:t>
            </w:r>
          </w:p>
        </w:tc>
      </w:tr>
      <w:tr>
        <w:tc>
          <w:tcPr>
            <w:tcW w:type="dxa" w:w="2880"/>
          </w:tcPr>
          <w:p>
            <w:r>
              <w:t>GetSubscription</w:t>
            </w:r>
          </w:p>
        </w:tc>
        <w:tc>
          <w:tcPr>
            <w:tcW w:type="dxa" w:w="2880"/>
          </w:tcPr>
          <w:p>
            <w:r>
              <w:t>GET /subscriptions/{id}</w:t>
            </w:r>
          </w:p>
        </w:tc>
        <w:tc>
          <w:tcPr>
            <w:tcW w:type="dxa" w:w="2880"/>
          </w:tcPr>
          <w:p>
            <w:r>
              <w:t>Reconciliation, webhook validation</w:t>
            </w:r>
          </w:p>
        </w:tc>
      </w:tr>
      <w:tr>
        <w:tc>
          <w:tcPr>
            <w:tcW w:type="dxa" w:w="2880"/>
          </w:tcPr>
          <w:p>
            <w:r>
              <w:t>Update</w:t>
            </w:r>
          </w:p>
        </w:tc>
        <w:tc>
          <w:tcPr>
            <w:tcW w:type="dxa" w:w="2880"/>
          </w:tcPr>
          <w:p>
            <w:r>
              <w:t>PATCH /subscriptions/{id}</w:t>
            </w:r>
          </w:p>
        </w:tc>
        <w:tc>
          <w:tcPr>
            <w:tcW w:type="dxa" w:w="2880"/>
          </w:tcPr>
          <w:p>
            <w:r>
              <w:t>Plan/quantity change webhook</w:t>
            </w:r>
          </w:p>
        </w:tc>
      </w:tr>
    </w:tbl>
    <w:p>
      <w:pPr>
        <w:pStyle w:val="Heading2"/>
      </w:pPr>
      <w:r>
        <w:t>6.1 Webhook Lifecycle Actions</w:t>
      </w:r>
    </w:p>
    <w:tbl>
      <w:tblPr>
        <w:tblStyle w:val="TableGrid"/>
        <w:tblW w:type="auto" w:w="0"/>
        <w:tblLook w:firstColumn="1" w:firstRow="1" w:lastColumn="0" w:lastRow="0" w:noHBand="0" w:noVBand="1" w:val="04A0"/>
      </w:tblPr>
      <w:tblGrid>
        <w:gridCol w:w="4320"/>
        <w:gridCol w:w="4320"/>
      </w:tblGrid>
      <w:tr>
        <w:tc>
          <w:tcPr>
            <w:tcW w:type="dxa" w:w="4320"/>
            <w:shd w:fill="3B82F6" w:val="clear"/>
          </w:tcPr>
          <w:p>
            <w:r>
              <w:rPr>
                <w:b/>
                <w:color w:val="FFFFFF"/>
              </w:rPr>
              <w:t>Webhook Action</w:t>
            </w:r>
          </w:p>
        </w:tc>
        <w:tc>
          <w:tcPr>
            <w:tcW w:type="dxa" w:w="4320"/>
            <w:shd w:fill="3B82F6" w:val="clear"/>
          </w:tcPr>
          <w:p>
            <w:r>
              <w:rPr>
                <w:b/>
                <w:color w:val="FFFFFF"/>
              </w:rPr>
              <w:t>AG ONE Behavior</w:t>
            </w:r>
          </w:p>
        </w:tc>
      </w:tr>
      <w:tr>
        <w:tc>
          <w:tcPr>
            <w:tcW w:type="dxa" w:w="4320"/>
          </w:tcPr>
          <w:p>
            <w:r>
              <w:t>Subscribe</w:t>
            </w:r>
          </w:p>
        </w:tc>
        <w:tc>
          <w:tcPr>
            <w:tcW w:type="dxa" w:w="4320"/>
          </w:tcPr>
          <w:p>
            <w:r>
              <w:t>Handled on landing page (resolve + activate); webhook as backup</w:t>
            </w:r>
          </w:p>
        </w:tc>
      </w:tr>
      <w:tr>
        <w:tc>
          <w:tcPr>
            <w:tcW w:type="dxa" w:w="4320"/>
          </w:tcPr>
          <w:p>
            <w:r>
              <w:t>ChangePlan</w:t>
            </w:r>
          </w:p>
        </w:tc>
        <w:tc>
          <w:tcPr>
            <w:tcW w:type="dxa" w:w="4320"/>
          </w:tcPr>
          <w:p>
            <w:r>
              <w:t>Update PlanName; call PATCH Fulfillment API; adjust feature flags</w:t>
            </w:r>
          </w:p>
        </w:tc>
      </w:tr>
      <w:tr>
        <w:tc>
          <w:tcPr>
            <w:tcW w:type="dxa" w:w="4320"/>
          </w:tcPr>
          <w:p>
            <w:r>
              <w:t>ChangeQuantity</w:t>
            </w:r>
          </w:p>
        </w:tc>
        <w:tc>
          <w:tcPr>
            <w:tcW w:type="dxa" w:w="4320"/>
          </w:tcPr>
          <w:p>
            <w:r>
              <w:t>Update MaxLicenses; enforce seat limits on user invites</w:t>
            </w:r>
          </w:p>
        </w:tc>
      </w:tr>
      <w:tr>
        <w:tc>
          <w:tcPr>
            <w:tcW w:type="dxa" w:w="4320"/>
          </w:tcPr>
          <w:p>
            <w:r>
              <w:t>Suspend</w:t>
            </w:r>
          </w:p>
        </w:tc>
        <w:tc>
          <w:tcPr>
            <w:tcW w:type="dxa" w:w="4320"/>
          </w:tcPr>
          <w:p>
            <w:r>
              <w:t>Set Subscription + Tenant Status = Suspended; block product login</w:t>
            </w:r>
          </w:p>
        </w:tc>
      </w:tr>
      <w:tr>
        <w:tc>
          <w:tcPr>
            <w:tcW w:type="dxa" w:w="4320"/>
          </w:tcPr>
          <w:p>
            <w:r>
              <w:t>Reinstate</w:t>
            </w:r>
          </w:p>
        </w:tc>
        <w:tc>
          <w:tcPr>
            <w:tcW w:type="dxa" w:w="4320"/>
          </w:tcPr>
          <w:p>
            <w:r>
              <w:t>Restore Status = Active</w:t>
            </w:r>
          </w:p>
        </w:tc>
      </w:tr>
      <w:tr>
        <w:tc>
          <w:tcPr>
            <w:tcW w:type="dxa" w:w="4320"/>
          </w:tcPr>
          <w:p>
            <w:r>
              <w:t>Unsubscribe</w:t>
            </w:r>
          </w:p>
        </w:tc>
        <w:tc>
          <w:tcPr>
            <w:tcW w:type="dxa" w:w="4320"/>
          </w:tcPr>
          <w:p>
            <w:r>
              <w:t>Set Cancelled; soft-disable access; retain data per retention policy</w:t>
            </w:r>
          </w:p>
        </w:tc>
      </w:tr>
    </w:tbl>
    <w:p>
      <w:r>
        <w:t>Webhook URL (Partner Center): https://agone.example.com/api/marketplace/webhook</w:t>
        <w:br/>
        <w:t>Return HTTP 200 quickly; process heavy work via Azure Service Bus.</w:t>
      </w:r>
    </w:p>
    <w:p>
      <w:pPr>
        <w:pStyle w:val="Heading1"/>
      </w:pPr>
      <w:r>
        <w:t>7. Authentication Flow Update</w:t>
      </w:r>
    </w:p>
    <w:p>
      <w:r>
        <w:t>See draw.io page: 6-Authentication-Flow</w:t>
      </w:r>
    </w:p>
    <w:p>
      <w:pPr>
        <w:pStyle w:val="Heading2"/>
      </w:pPr>
      <w:r>
        <w:t>7.1 Extended JWT Claims</w:t>
      </w:r>
    </w:p>
    <w:tbl>
      <w:tblPr>
        <w:tblStyle w:val="TableGrid"/>
        <w:tblW w:type="auto" w:w="0"/>
        <w:tblLook w:firstColumn="1" w:firstRow="1" w:lastColumn="0" w:lastRow="0" w:noHBand="0" w:noVBand="1" w:val="04A0"/>
      </w:tblPr>
      <w:tblGrid>
        <w:gridCol w:w="2880"/>
        <w:gridCol w:w="2880"/>
        <w:gridCol w:w="2880"/>
      </w:tblGrid>
      <w:tr>
        <w:tc>
          <w:tcPr>
            <w:tcW w:type="dxa" w:w="2880"/>
            <w:shd w:fill="3B82F6" w:val="clear"/>
          </w:tcPr>
          <w:p>
            <w:r>
              <w:rPr>
                <w:b/>
                <w:color w:val="FFFFFF"/>
              </w:rPr>
              <w:t>Claim</w:t>
            </w:r>
          </w:p>
        </w:tc>
        <w:tc>
          <w:tcPr>
            <w:tcW w:type="dxa" w:w="2880"/>
            <w:shd w:fill="3B82F6" w:val="clear"/>
          </w:tcPr>
          <w:p>
            <w:r>
              <w:rPr>
                <w:b/>
                <w:color w:val="FFFFFF"/>
              </w:rPr>
              <w:t>Example</w:t>
            </w:r>
          </w:p>
        </w:tc>
        <w:tc>
          <w:tcPr>
            <w:tcW w:type="dxa" w:w="2880"/>
            <w:shd w:fill="3B82F6" w:val="clear"/>
          </w:tcPr>
          <w:p>
            <w:r>
              <w:rPr>
                <w:b/>
                <w:color w:val="FFFFFF"/>
              </w:rPr>
              <w:t>Purpose</w:t>
            </w:r>
          </w:p>
        </w:tc>
      </w:tr>
      <w:tr>
        <w:tc>
          <w:tcPr>
            <w:tcW w:type="dxa" w:w="2880"/>
          </w:tcPr>
          <w:p>
            <w:r>
              <w:t>tenant_id</w:t>
            </w:r>
          </w:p>
        </w:tc>
        <w:tc>
          <w:tcPr>
            <w:tcW w:type="dxa" w:w="2880"/>
          </w:tcPr>
          <w:p>
            <w:r>
              <w:t>guid</w:t>
            </w:r>
          </w:p>
        </w:tc>
        <w:tc>
          <w:tcPr>
            <w:tcW w:type="dxa" w:w="2880"/>
          </w:tcPr>
          <w:p>
            <w:r>
              <w:t>Row-level isolation (existing)</w:t>
            </w:r>
          </w:p>
        </w:tc>
      </w:tr>
      <w:tr>
        <w:tc>
          <w:tcPr>
            <w:tcW w:type="dxa" w:w="2880"/>
          </w:tcPr>
          <w:p>
            <w:r>
              <w:t>tenant_slug</w:t>
            </w:r>
          </w:p>
        </w:tc>
        <w:tc>
          <w:tcPr>
            <w:tcW w:type="dxa" w:w="2880"/>
          </w:tcPr>
          <w:p>
            <w:r>
              <w:t>acme-corp</w:t>
            </w:r>
          </w:p>
        </w:tc>
        <w:tc>
          <w:tcPr>
            <w:tcW w:type="dxa" w:w="2880"/>
          </w:tcPr>
          <w:p>
            <w:r>
              <w:t>Friendly URLs</w:t>
            </w:r>
          </w:p>
        </w:tc>
      </w:tr>
      <w:tr>
        <w:tc>
          <w:tcPr>
            <w:tcW w:type="dxa" w:w="2880"/>
          </w:tcPr>
          <w:p>
            <w:r>
              <w:t>product_id</w:t>
            </w:r>
          </w:p>
        </w:tc>
        <w:tc>
          <w:tcPr>
            <w:tcW w:type="dxa" w:w="2880"/>
          </w:tcPr>
          <w:p>
            <w:r>
              <w:t>Learn GUID</w:t>
            </w:r>
          </w:p>
        </w:tc>
        <w:tc>
          <w:tcPr>
            <w:tcW w:type="dxa" w:w="2880"/>
          </w:tcPr>
          <w:p>
            <w:r>
              <w:t>Active product context</w:t>
            </w:r>
          </w:p>
        </w:tc>
      </w:tr>
      <w:tr>
        <w:tc>
          <w:tcPr>
            <w:tcW w:type="dxa" w:w="2880"/>
          </w:tcPr>
          <w:p>
            <w:r>
              <w:t>subscription_id</w:t>
            </w:r>
          </w:p>
        </w:tc>
        <w:tc>
          <w:tcPr>
            <w:tcW w:type="dxa" w:w="2880"/>
          </w:tcPr>
          <w:p>
            <w:r>
              <w:t>guid</w:t>
            </w:r>
          </w:p>
        </w:tc>
        <w:tc>
          <w:tcPr>
            <w:tcW w:type="dxa" w:w="2880"/>
          </w:tcPr>
          <w:p>
            <w:r>
              <w:t>Internal subscription reference</w:t>
            </w:r>
          </w:p>
        </w:tc>
      </w:tr>
      <w:tr>
        <w:tc>
          <w:tcPr>
            <w:tcW w:type="dxa" w:w="2880"/>
          </w:tcPr>
          <w:p>
            <w:r>
              <w:t>subscription_status</w:t>
            </w:r>
          </w:p>
        </w:tc>
        <w:tc>
          <w:tcPr>
            <w:tcW w:type="dxa" w:w="2880"/>
          </w:tcPr>
          <w:p>
            <w:r>
              <w:t>Active / Suspended</w:t>
            </w:r>
          </w:p>
        </w:tc>
        <w:tc>
          <w:tcPr>
            <w:tcW w:type="dxa" w:w="2880"/>
          </w:tcPr>
          <w:p>
            <w:r>
              <w:t>Product-level gate</w:t>
            </w:r>
          </w:p>
        </w:tc>
      </w:tr>
      <w:tr>
        <w:tc>
          <w:tcPr>
            <w:tcW w:type="dxa" w:w="2880"/>
          </w:tcPr>
          <w:p>
            <w:r>
              <w:t>billing_source</w:t>
            </w:r>
          </w:p>
        </w:tc>
        <w:tc>
          <w:tcPr>
            <w:tcW w:type="dxa" w:w="2880"/>
          </w:tcPr>
          <w:p>
            <w:r>
              <w:t>AzureMarketplace</w:t>
            </w:r>
          </w:p>
        </w:tc>
        <w:tc>
          <w:tcPr>
            <w:tcW w:type="dxa" w:w="2880"/>
          </w:tcPr>
          <w:p>
            <w:r>
              <w:t>UI/billing behavior</w:t>
            </w:r>
          </w:p>
        </w:tc>
      </w:tr>
      <w:tr>
        <w:tc>
          <w:tcPr>
            <w:tcW w:type="dxa" w:w="2880"/>
          </w:tcPr>
          <w:p>
            <w:r>
              <w:t>marketplace_subscription_id</w:t>
            </w:r>
          </w:p>
        </w:tc>
        <w:tc>
          <w:tcPr>
            <w:tcW w:type="dxa" w:w="2880"/>
          </w:tcPr>
          <w:p>
            <w:r>
              <w:t>Azure string</w:t>
            </w:r>
          </w:p>
        </w:tc>
        <w:tc>
          <w:tcPr>
            <w:tcW w:type="dxa" w:w="2880"/>
          </w:tcPr>
          <w:p>
            <w:r>
              <w:t>Support/billing correlation</w:t>
            </w:r>
          </w:p>
        </w:tc>
      </w:tr>
      <w:tr>
        <w:tc>
          <w:tcPr>
            <w:tcW w:type="dxa" w:w="2880"/>
          </w:tcPr>
          <w:p>
            <w:r>
              <w:t>max_licenses</w:t>
            </w:r>
          </w:p>
        </w:tc>
        <w:tc>
          <w:tcPr>
            <w:tcW w:type="dxa" w:w="2880"/>
          </w:tcPr>
          <w:p>
            <w:r>
              <w:t>25</w:t>
            </w:r>
          </w:p>
        </w:tc>
        <w:tc>
          <w:tcPr>
            <w:tcW w:type="dxa" w:w="2880"/>
          </w:tcPr>
          <w:p>
            <w:r>
              <w:t>Seat enforcement</w:t>
            </w:r>
          </w:p>
        </w:tc>
      </w:tr>
      <w:tr>
        <w:tc>
          <w:tcPr>
            <w:tcW w:type="dxa" w:w="2880"/>
          </w:tcPr>
          <w:p>
            <w:r>
              <w:t>permission</w:t>
            </w:r>
          </w:p>
        </w:tc>
        <w:tc>
          <w:tcPr>
            <w:tcW w:type="dxa" w:w="2880"/>
          </w:tcPr>
          <w:p>
            <w:r>
              <w:t>learn.path.read</w:t>
            </w:r>
          </w:p>
        </w:tc>
        <w:tc>
          <w:tcPr>
            <w:tcW w:type="dxa" w:w="2880"/>
          </w:tcPr>
          <w:p>
            <w:r>
              <w:t>RBAC (existing)</w:t>
            </w:r>
          </w:p>
        </w:tc>
      </w:tr>
    </w:tbl>
    <w:p>
      <w:pPr>
        <w:pStyle w:val="Heading2"/>
      </w:pPr>
      <w:r>
        <w:t>7.2 Multi-Tenant Rules</w:t>
      </w:r>
    </w:p>
    <w:p>
      <w:pPr>
        <w:pStyle w:val="ListBullet"/>
      </w:pPr>
      <w:r>
        <w:t>One Marketplace subscription = one AG ONE tenant (default isolation model).</w:t>
      </w:r>
    </w:p>
    <w:p>
      <w:pPr>
        <w:pStyle w:val="ListBullet"/>
      </w:pPr>
      <w:r>
        <w:t>Purchaser email becomes initial TenantOwner in core.Users.</w:t>
      </w:r>
    </w:p>
    <w:p>
      <w:pPr>
        <w:pStyle w:val="ListBullet"/>
      </w:pPr>
      <w:r>
        <w:t>Beneficiary email used when different from purchaser.</w:t>
      </w:r>
    </w:p>
    <w:p>
      <w:pPr>
        <w:pStyle w:val="ListBullet"/>
      </w:pPr>
      <w:r>
        <w:t>Before JWT issuance: verify Tenant.Status=Active, Subscription.Status=Active, Marketplace SaasStatus=Subscribed.</w:t>
      </w:r>
    </w:p>
    <w:p>
      <w:pPr>
        <w:pStyle w:val="ListBullet"/>
      </w:pPr>
      <w:r>
        <w:t>Central logout unchanged: any product logout redirects to AG ONE; cookie cleared domain-wide.</w:t>
      </w:r>
    </w:p>
    <w:p>
      <w:pPr>
        <w:pStyle w:val="ListBullet"/>
      </w:pPr>
      <w:r>
        <w:t>Seat limits: UsedLicenses &lt; MaxLicenses on user invite.</w:t>
      </w:r>
    </w:p>
    <w:p>
      <w:pPr>
        <w:pStyle w:val="Heading1"/>
      </w:pPr>
      <w:r>
        <w:t>8. System Flow (Step-by-Step)</w:t>
      </w:r>
    </w:p>
    <w:p>
      <w:r>
        <w:t>See draw.io page: 7-System-Flow-Steps</w:t>
      </w:r>
    </w:p>
    <w:tbl>
      <w:tblPr>
        <w:tblStyle w:val="TableGrid"/>
        <w:tblW w:type="auto" w:w="0"/>
        <w:tblLook w:firstColumn="1" w:firstRow="1" w:lastColumn="0" w:lastRow="0" w:noHBand="0" w:noVBand="1" w:val="04A0"/>
      </w:tblPr>
      <w:tblGrid>
        <w:gridCol w:w="4320"/>
        <w:gridCol w:w="4320"/>
      </w:tblGrid>
      <w:tr>
        <w:tc>
          <w:tcPr>
            <w:tcW w:type="dxa" w:w="4320"/>
            <w:shd w:fill="3B82F6" w:val="clear"/>
          </w:tcPr>
          <w:p>
            <w:r>
              <w:rPr>
                <w:b/>
                <w:color w:val="FFFFFF"/>
              </w:rPr>
              <w:t>Step</w:t>
            </w:r>
          </w:p>
        </w:tc>
        <w:tc>
          <w:tcPr>
            <w:tcW w:type="dxa" w:w="4320"/>
            <w:shd w:fill="3B82F6" w:val="clear"/>
          </w:tcPr>
          <w:p>
            <w:r>
              <w:rPr>
                <w:b/>
                <w:color w:val="FFFFFF"/>
              </w:rPr>
              <w:t>Description</w:t>
            </w:r>
          </w:p>
        </w:tc>
      </w:tr>
      <w:tr>
        <w:tc>
          <w:tcPr>
            <w:tcW w:type="dxa" w:w="4320"/>
          </w:tcPr>
          <w:p>
            <w:r>
              <w:t>User browses Azure Marketplace</w:t>
            </w:r>
          </w:p>
        </w:tc>
        <w:tc>
          <w:tcPr>
            <w:tcW w:type="dxa" w:w="4320"/>
          </w:tcPr>
          <w:p>
            <w:r>
              <w:t>Customer discovers AG ONE Learn offer</w:t>
            </w:r>
          </w:p>
        </w:tc>
      </w:tr>
      <w:tr>
        <w:tc>
          <w:tcPr>
            <w:tcW w:type="dxa" w:w="4320"/>
          </w:tcPr>
          <w:p>
            <w:r>
              <w:t>Subscribe</w:t>
            </w:r>
          </w:p>
        </w:tc>
        <w:tc>
          <w:tcPr>
            <w:tcW w:type="dxa" w:w="4320"/>
          </w:tcPr>
          <w:p>
            <w:r>
              <w:t>Azure creates PendingFulfillmentStart subscription</w:t>
            </w:r>
          </w:p>
        </w:tc>
      </w:tr>
      <w:tr>
        <w:tc>
          <w:tcPr>
            <w:tcW w:type="dxa" w:w="4320"/>
          </w:tcPr>
          <w:p>
            <w:r>
              <w:t>Redirect</w:t>
            </w:r>
          </w:p>
        </w:tc>
        <w:tc>
          <w:tcPr>
            <w:tcW w:type="dxa" w:w="4320"/>
          </w:tcPr>
          <w:p>
            <w:r>
              <w:t>Azure sends user to AG ONE landing page with token</w:t>
            </w:r>
          </w:p>
        </w:tc>
      </w:tr>
      <w:tr>
        <w:tc>
          <w:tcPr>
            <w:tcW w:type="dxa" w:w="4320"/>
          </w:tcPr>
          <w:p>
            <w:r>
              <w:t>Resolve</w:t>
            </w:r>
          </w:p>
        </w:tc>
        <w:tc>
          <w:tcPr>
            <w:tcW w:type="dxa" w:w="4320"/>
          </w:tcPr>
          <w:p>
            <w:r>
              <w:t>AG ONE calls Fulfillment API /resolve</w:t>
            </w:r>
          </w:p>
        </w:tc>
      </w:tr>
      <w:tr>
        <w:tc>
          <w:tcPr>
            <w:tcW w:type="dxa" w:w="4320"/>
          </w:tcPr>
          <w:p>
            <w:r>
              <w:t>Activate</w:t>
            </w:r>
          </w:p>
        </w:tc>
        <w:tc>
          <w:tcPr>
            <w:tcW w:type="dxa" w:w="4320"/>
          </w:tcPr>
          <w:p>
            <w:r>
              <w:t>AG ONE calls /activate within 30-day window</w:t>
            </w:r>
          </w:p>
        </w:tc>
      </w:tr>
      <w:tr>
        <w:tc>
          <w:tcPr>
            <w:tcW w:type="dxa" w:w="4320"/>
          </w:tcPr>
          <w:p>
            <w:r>
              <w:t>Provision Tenant</w:t>
            </w:r>
          </w:p>
        </w:tc>
        <w:tc>
          <w:tcPr>
            <w:tcW w:type="dxa" w:w="4320"/>
          </w:tcPr>
          <w:p>
            <w:r>
              <w:t>Create core.Tenants with ProvisioningSource=Marketplace</w:t>
            </w:r>
          </w:p>
        </w:tc>
      </w:tr>
      <w:tr>
        <w:tc>
          <w:tcPr>
            <w:tcW w:type="dxa" w:w="4320"/>
          </w:tcPr>
          <w:p>
            <w:r>
              <w:t>Create Subscription</w:t>
            </w:r>
          </w:p>
        </w:tc>
        <w:tc>
          <w:tcPr>
            <w:tcW w:type="dxa" w:w="4320"/>
          </w:tcPr>
          <w:p>
            <w:r>
              <w:t>core.Subscriptions for AGOneLearn, Status=Active</w:t>
            </w:r>
          </w:p>
        </w:tc>
      </w:tr>
      <w:tr>
        <w:tc>
          <w:tcPr>
            <w:tcW w:type="dxa" w:w="4320"/>
          </w:tcPr>
          <w:p>
            <w:r>
              <w:t>Map</w:t>
            </w:r>
          </w:p>
        </w:tc>
        <w:tc>
          <w:tcPr>
            <w:tcW w:type="dxa" w:w="4320"/>
          </w:tcPr>
          <w:p>
            <w:r>
              <w:t>AzureSubscriptionId → TenantId → ProductId</w:t>
            </w:r>
          </w:p>
        </w:tc>
      </w:tr>
      <w:tr>
        <w:tc>
          <w:tcPr>
            <w:tcW w:type="dxa" w:w="4320"/>
          </w:tcPr>
          <w:p>
            <w:r>
              <w:t>Create Admin</w:t>
            </w:r>
          </w:p>
        </w:tc>
        <w:tc>
          <w:tcPr>
            <w:tcW w:type="dxa" w:w="4320"/>
          </w:tcPr>
          <w:p>
            <w:r>
              <w:t>User + TenantOwner + LearnProdAdmin roles</w:t>
            </w:r>
          </w:p>
        </w:tc>
      </w:tr>
      <w:tr>
        <w:tc>
          <w:tcPr>
            <w:tcW w:type="dxa" w:w="4320"/>
          </w:tcPr>
          <w:p>
            <w:r>
              <w:t>Seed learn.*</w:t>
            </w:r>
          </w:p>
        </w:tc>
        <w:tc>
          <w:tcPr>
            <w:tcW w:type="dxa" w:w="4320"/>
          </w:tcPr>
          <w:p>
            <w:r>
              <w:t>Default tenant data in learn schema</w:t>
            </w:r>
          </w:p>
        </w:tc>
      </w:tr>
      <w:tr>
        <w:tc>
          <w:tcPr>
            <w:tcW w:type="dxa" w:w="4320"/>
          </w:tcPr>
          <w:p>
            <w:r>
              <w:t>Login</w:t>
            </w:r>
          </w:p>
        </w:tc>
        <w:tc>
          <w:tcPr>
            <w:tcW w:type="dxa" w:w="4320"/>
          </w:tcPr>
          <w:p>
            <w:r>
              <w:t>User authenticates via AG ONE / Entra ID</w:t>
            </w:r>
          </w:p>
        </w:tc>
      </w:tr>
      <w:tr>
        <w:tc>
          <w:tcPr>
            <w:tcW w:type="dxa" w:w="4320"/>
          </w:tcPr>
          <w:p>
            <w:r>
              <w:t>JWT</w:t>
            </w:r>
          </w:p>
        </w:tc>
        <w:tc>
          <w:tcPr>
            <w:tcW w:type="dxa" w:w="4320"/>
          </w:tcPr>
          <w:p>
            <w:r>
              <w:t>agone_sso_token cookie with tenant_id</w:t>
            </w:r>
          </w:p>
        </w:tc>
      </w:tr>
      <w:tr>
        <w:tc>
          <w:tcPr>
            <w:tcW w:type="dxa" w:w="4320"/>
          </w:tcPr>
          <w:p>
            <w:r>
              <w:t>Launch Learn</w:t>
            </w:r>
          </w:p>
        </w:tc>
        <w:tc>
          <w:tcPr>
            <w:tcW w:type="dxa" w:w="4320"/>
          </w:tcPr>
          <w:p>
            <w:r>
              <w:t>From My Products page</w:t>
            </w:r>
          </w:p>
        </w:tc>
      </w:tr>
      <w:tr>
        <w:tc>
          <w:tcPr>
            <w:tcW w:type="dxa" w:w="4320"/>
          </w:tcPr>
          <w:p>
            <w:r>
              <w:t>Validate SSO</w:t>
            </w:r>
          </w:p>
        </w:tc>
        <w:tc>
          <w:tcPr>
            <w:tcW w:type="dxa" w:w="4320"/>
          </w:tcPr>
          <w:p>
            <w:r>
              <w:t>AgOneSsoMiddleware on Learn app</w:t>
            </w:r>
          </w:p>
        </w:tc>
      </w:tr>
      <w:tr>
        <w:tc>
          <w:tcPr>
            <w:tcW w:type="dxa" w:w="4320"/>
          </w:tcPr>
          <w:p>
            <w:r>
              <w:t>Access</w:t>
            </w:r>
          </w:p>
        </w:tc>
        <w:tc>
          <w:tcPr>
            <w:tcW w:type="dxa" w:w="4320"/>
          </w:tcPr>
          <w:p>
            <w:r>
              <w:t>Tenant-scoped learn.* queries</w:t>
            </w:r>
          </w:p>
        </w:tc>
      </w:tr>
    </w:tbl>
    <w:p>
      <w:pPr>
        <w:pStyle w:val="Heading1"/>
      </w:pPr>
      <w:r>
        <w:t>9. Deployment Architecture</w:t>
      </w:r>
    </w:p>
    <w:p>
      <w:r>
        <w:t>See draw.io page: 8-Deployment-Architecture</w:t>
      </w:r>
    </w:p>
    <w:tbl>
      <w:tblPr>
        <w:tblStyle w:val="TableGrid"/>
        <w:tblW w:type="auto" w:w="0"/>
        <w:tblLook w:firstColumn="1" w:firstRow="1" w:lastColumn="0" w:lastRow="0" w:noHBand="0" w:noVBand="1" w:val="04A0"/>
      </w:tblPr>
      <w:tblGrid>
        <w:gridCol w:w="2880"/>
        <w:gridCol w:w="2880"/>
        <w:gridCol w:w="2880"/>
      </w:tblGrid>
      <w:tr>
        <w:tc>
          <w:tcPr>
            <w:tcW w:type="dxa" w:w="2880"/>
            <w:shd w:fill="3B82F6" w:val="clear"/>
          </w:tcPr>
          <w:p>
            <w:r>
              <w:rPr>
                <w:b/>
                <w:color w:val="FFFFFF"/>
              </w:rPr>
              <w:t>Component</w:t>
            </w:r>
          </w:p>
        </w:tc>
        <w:tc>
          <w:tcPr>
            <w:tcW w:type="dxa" w:w="2880"/>
            <w:shd w:fill="3B82F6" w:val="clear"/>
          </w:tcPr>
          <w:p>
            <w:r>
              <w:rPr>
                <w:b/>
                <w:color w:val="FFFFFF"/>
              </w:rPr>
              <w:t>Azure Service</w:t>
            </w:r>
          </w:p>
        </w:tc>
        <w:tc>
          <w:tcPr>
            <w:tcW w:type="dxa" w:w="2880"/>
            <w:shd w:fill="3B82F6" w:val="clear"/>
          </w:tcPr>
          <w:p>
            <w:r>
              <w:rPr>
                <w:b/>
                <w:color w:val="FFFFFF"/>
              </w:rPr>
              <w:t>Notes</w:t>
            </w:r>
          </w:p>
        </w:tc>
      </w:tr>
      <w:tr>
        <w:tc>
          <w:tcPr>
            <w:tcW w:type="dxa" w:w="2880"/>
          </w:tcPr>
          <w:p>
            <w:r>
              <w:t>AG ONE Gateway</w:t>
            </w:r>
          </w:p>
        </w:tc>
        <w:tc>
          <w:tcPr>
            <w:tcW w:type="dxa" w:w="2880"/>
          </w:tcPr>
          <w:p>
            <w:r>
              <w:t>Azure App Service (Premium v3)</w:t>
            </w:r>
          </w:p>
        </w:tc>
        <w:tc>
          <w:tcPr>
            <w:tcW w:type="dxa" w:w="2880"/>
          </w:tcPr>
          <w:p>
            <w:r>
              <w:t>Landing page + webhooks; HA required</w:t>
            </w:r>
          </w:p>
        </w:tc>
      </w:tr>
      <w:tr>
        <w:tc>
          <w:tcPr>
            <w:tcW w:type="dxa" w:w="2880"/>
          </w:tcPr>
          <w:p>
            <w:r>
              <w:t>AG ONE Learn</w:t>
            </w:r>
          </w:p>
        </w:tc>
        <w:tc>
          <w:tcPr>
            <w:tcW w:type="dxa" w:w="2880"/>
          </w:tcPr>
          <w:p>
            <w:r>
              <w:t>App Service or AKS</w:t>
            </w:r>
          </w:p>
        </w:tc>
        <w:tc>
          <w:tcPr>
            <w:tcW w:type="dxa" w:w="2880"/>
          </w:tcPr>
          <w:p>
            <w:r>
              <w:t>Start App Service; scale to AKS</w:t>
            </w:r>
          </w:p>
        </w:tc>
      </w:tr>
      <w:tr>
        <w:tc>
          <w:tcPr>
            <w:tcW w:type="dxa" w:w="2880"/>
          </w:tcPr>
          <w:p>
            <w:r>
              <w:t>Database</w:t>
            </w:r>
          </w:p>
        </w:tc>
        <w:tc>
          <w:tcPr>
            <w:tcW w:type="dxa" w:w="2880"/>
          </w:tcPr>
          <w:p>
            <w:r>
              <w:t>Azure SQL Business Critical</w:t>
            </w:r>
          </w:p>
        </w:tc>
        <w:tc>
          <w:tcPr>
            <w:tcW w:type="dxa" w:w="2880"/>
          </w:tcPr>
          <w:p>
            <w:r>
              <w:t>TDE, AAD auth, schema isolation</w:t>
            </w:r>
          </w:p>
        </w:tc>
      </w:tr>
      <w:tr>
        <w:tc>
          <w:tcPr>
            <w:tcW w:type="dxa" w:w="2880"/>
          </w:tcPr>
          <w:p>
            <w:r>
              <w:t>Secrets</w:t>
            </w:r>
          </w:p>
        </w:tc>
        <w:tc>
          <w:tcPr>
            <w:tcW w:type="dxa" w:w="2880"/>
          </w:tcPr>
          <w:p>
            <w:r>
              <w:t>Key Vault</w:t>
            </w:r>
          </w:p>
        </w:tc>
        <w:tc>
          <w:tcPr>
            <w:tcW w:type="dxa" w:w="2880"/>
          </w:tcPr>
          <w:p>
            <w:r>
              <w:t>Fulfillment API creds via managed identity</w:t>
            </w:r>
          </w:p>
        </w:tc>
      </w:tr>
      <w:tr>
        <w:tc>
          <w:tcPr>
            <w:tcW w:type="dxa" w:w="2880"/>
          </w:tcPr>
          <w:p>
            <w:r>
              <w:t>Async Events</w:t>
            </w:r>
          </w:p>
        </w:tc>
        <w:tc>
          <w:tcPr>
            <w:tcW w:type="dxa" w:w="2880"/>
          </w:tcPr>
          <w:p>
            <w:r>
              <w:t>Service Bus</w:t>
            </w:r>
          </w:p>
        </w:tc>
        <w:tc>
          <w:tcPr>
            <w:tcW w:type="dxa" w:w="2880"/>
          </w:tcPr>
          <w:p>
            <w:r>
              <w:t>marketplace-events queue/topic</w:t>
            </w:r>
          </w:p>
        </w:tc>
      </w:tr>
      <w:tr>
        <w:tc>
          <w:tcPr>
            <w:tcW w:type="dxa" w:w="2880"/>
          </w:tcPr>
          <w:p>
            <w:r>
              <w:t>Monitoring</w:t>
            </w:r>
          </w:p>
        </w:tc>
        <w:tc>
          <w:tcPr>
            <w:tcW w:type="dxa" w:w="2880"/>
          </w:tcPr>
          <w:p>
            <w:r>
              <w:t>Application Insights</w:t>
            </w:r>
          </w:p>
        </w:tc>
        <w:tc>
          <w:tcPr>
            <w:tcW w:type="dxa" w:w="2880"/>
          </w:tcPr>
          <w:p>
            <w:r>
              <w:t>Webhook failures, provisioning DLQ alerts</w:t>
            </w:r>
          </w:p>
        </w:tc>
      </w:tr>
      <w:tr>
        <w:tc>
          <w:tcPr>
            <w:tcW w:type="dxa" w:w="2880"/>
          </w:tcPr>
          <w:p>
            <w:r>
              <w:t>CDN (optional)</w:t>
            </w:r>
          </w:p>
        </w:tc>
        <w:tc>
          <w:tcPr>
            <w:tcW w:type="dxa" w:w="2880"/>
          </w:tcPr>
          <w:p>
            <w:r>
              <w:t>Azure Front Door</w:t>
            </w:r>
          </w:p>
        </w:tc>
        <w:tc>
          <w:tcPr>
            <w:tcW w:type="dxa" w:w="2880"/>
          </w:tcPr>
          <w:p>
            <w:r>
              <w:t>Global Marketplace purchasers</w:t>
            </w:r>
          </w:p>
        </w:tc>
      </w:tr>
    </w:tbl>
    <w:p>
      <w:pPr>
        <w:pStyle w:val="Heading2"/>
      </w:pPr>
      <w:r>
        <w:t>9.1 New API Structure</w:t>
      </w:r>
    </w:p>
    <w:p>
      <w:pPr>
        <w:pStyle w:val="ListBullet"/>
      </w:pPr>
      <w:r>
        <w:t>AGOne.Api/Controllers/MarketplaceLandingController.cs — GET /marketplace/landing</w:t>
      </w:r>
    </w:p>
    <w:p>
      <w:pPr>
        <w:pStyle w:val="ListBullet"/>
      </w:pPr>
      <w:r>
        <w:t>AGOne.Api/Controllers/MarketplaceWebhookController.cs — POST /api/marketplace/webhook</w:t>
      </w:r>
    </w:p>
    <w:p>
      <w:pPr>
        <w:pStyle w:val="ListBullet"/>
      </w:pPr>
      <w:r>
        <w:t>AGOne.Infrastructure/Services/MarketplaceFulfillmentService.cs</w:t>
      </w:r>
    </w:p>
    <w:p>
      <w:pPr>
        <w:pStyle w:val="ListBullet"/>
      </w:pPr>
      <w:r>
        <w:t>AGOne.Infrastructure/Services/MarketplaceLifecycleService.cs</w:t>
      </w:r>
    </w:p>
    <w:p>
      <w:pPr>
        <w:pStyle w:val="ListBullet"/>
      </w:pPr>
      <w:r>
        <w:t>AGOne.Infrastructure/Services/TenantProvisioningService.cs</w:t>
      </w:r>
    </w:p>
    <w:p>
      <w:pPr>
        <w:pStyle w:val="ListBullet"/>
      </w:pPr>
      <w:r>
        <w:t>AGOne.Infrastructure/Workers/TenantProvisioningWorker.cs — Service Bus triggered</w:t>
      </w:r>
    </w:p>
    <w:p>
      <w:pPr>
        <w:pStyle w:val="Heading1"/>
      </w:pPr>
      <w:r>
        <w:t>10. Design Considerations</w:t>
      </w:r>
    </w:p>
    <w:p>
      <w:pPr>
        <w:pStyle w:val="Heading2"/>
      </w:pPr>
      <w:r>
        <w:t>10.1 Multi-Tenancy</w:t>
      </w:r>
    </w:p>
    <w:tbl>
      <w:tblPr>
        <w:tblStyle w:val="TableGrid"/>
        <w:tblW w:type="auto" w:w="0"/>
        <w:tblLook w:firstColumn="1" w:firstRow="1" w:lastColumn="0" w:lastRow="0" w:noHBand="0" w:noVBand="1" w:val="04A0"/>
      </w:tblPr>
      <w:tblGrid>
        <w:gridCol w:w="4320"/>
        <w:gridCol w:w="4320"/>
      </w:tblGrid>
      <w:tr>
        <w:tc>
          <w:tcPr>
            <w:tcW w:type="dxa" w:w="4320"/>
            <w:shd w:fill="3B82F6" w:val="clear"/>
          </w:tcPr>
          <w:p>
            <w:r>
              <w:rPr>
                <w:b/>
                <w:color w:val="FFFFFF"/>
              </w:rPr>
              <w:t>Concern</w:t>
            </w:r>
          </w:p>
        </w:tc>
        <w:tc>
          <w:tcPr>
            <w:tcW w:type="dxa" w:w="4320"/>
            <w:shd w:fill="3B82F6" w:val="clear"/>
          </w:tcPr>
          <w:p>
            <w:r>
              <w:rPr>
                <w:b/>
                <w:color w:val="FFFFFF"/>
              </w:rPr>
              <w:t>Approach</w:t>
            </w:r>
          </w:p>
        </w:tc>
      </w:tr>
      <w:tr>
        <w:tc>
          <w:tcPr>
            <w:tcW w:type="dxa" w:w="4320"/>
          </w:tcPr>
          <w:p>
            <w:r>
              <w:t>Data isolation</w:t>
            </w:r>
          </w:p>
        </w:tc>
        <w:tc>
          <w:tcPr>
            <w:tcW w:type="dxa" w:w="4320"/>
          </w:tcPr>
          <w:p>
            <w:r>
              <w:t>TenantId on every learn.* row; EF global query filters</w:t>
            </w:r>
          </w:p>
        </w:tc>
      </w:tr>
      <w:tr>
        <w:tc>
          <w:tcPr>
            <w:tcW w:type="dxa" w:w="4320"/>
          </w:tcPr>
          <w:p>
            <w:r>
              <w:t>Schema separation</w:t>
            </w:r>
          </w:p>
        </w:tc>
        <w:tc>
          <w:tcPr>
            <w:tcW w:type="dxa" w:w="4320"/>
          </w:tcPr>
          <w:p>
            <w:r>
              <w:t>learn.* separate from work.*/safe.*; Marketplace provisions Learn only</w:t>
            </w:r>
          </w:p>
        </w:tc>
      </w:tr>
      <w:tr>
        <w:tc>
          <w:tcPr>
            <w:tcW w:type="dxa" w:w="4320"/>
          </w:tcPr>
          <w:p>
            <w:r>
              <w:t>Tenant boundary</w:t>
            </w:r>
          </w:p>
        </w:tc>
        <w:tc>
          <w:tcPr>
            <w:tcW w:type="dxa" w:w="4320"/>
          </w:tcPr>
          <w:p>
            <w:r>
              <w:t>1 Azure subscription = 1 AG ONE tenant</w:t>
            </w:r>
          </w:p>
        </w:tc>
      </w:tr>
      <w:tr>
        <w:tc>
          <w:tcPr>
            <w:tcW w:type="dxa" w:w="4320"/>
          </w:tcPr>
          <w:p>
            <w:r>
              <w:t>Noisy neighbor</w:t>
            </w:r>
          </w:p>
        </w:tc>
        <w:tc>
          <w:tcPr>
            <w:tcW w:type="dxa" w:w="4320"/>
          </w:tcPr>
          <w:p>
            <w:r>
              <w:t>Rate limiting per tenant at API Management / middleware</w:t>
            </w:r>
          </w:p>
        </w:tc>
      </w:tr>
    </w:tbl>
    <w:p>
      <w:pPr>
        <w:pStyle w:val="Heading2"/>
      </w:pPr>
      <w:r>
        <w:t>10.2 Security</w:t>
      </w:r>
    </w:p>
    <w:tbl>
      <w:tblPr>
        <w:tblStyle w:val="TableGrid"/>
        <w:tblW w:type="auto" w:w="0"/>
        <w:tblLook w:firstColumn="1" w:firstRow="1" w:lastColumn="0" w:lastRow="0" w:noHBand="0" w:noVBand="1" w:val="04A0"/>
      </w:tblPr>
      <w:tblGrid>
        <w:gridCol w:w="4320"/>
        <w:gridCol w:w="4320"/>
      </w:tblGrid>
      <w:tr>
        <w:tc>
          <w:tcPr>
            <w:tcW w:type="dxa" w:w="4320"/>
            <w:shd w:fill="3B82F6" w:val="clear"/>
          </w:tcPr>
          <w:p>
            <w:r>
              <w:rPr>
                <w:b/>
                <w:color w:val="FFFFFF"/>
              </w:rPr>
              <w:t>Concern</w:t>
            </w:r>
          </w:p>
        </w:tc>
        <w:tc>
          <w:tcPr>
            <w:tcW w:type="dxa" w:w="4320"/>
            <w:shd w:fill="3B82F6" w:val="clear"/>
          </w:tcPr>
          <w:p>
            <w:r>
              <w:rPr>
                <w:b/>
                <w:color w:val="FFFFFF"/>
              </w:rPr>
              <w:t>Approach</w:t>
            </w:r>
          </w:p>
        </w:tc>
      </w:tr>
      <w:tr>
        <w:tc>
          <w:tcPr>
            <w:tcW w:type="dxa" w:w="4320"/>
          </w:tcPr>
          <w:p>
            <w:r>
              <w:t>Webhook authenticity</w:t>
            </w:r>
          </w:p>
        </w:tc>
        <w:tc>
          <w:tcPr>
            <w:tcW w:type="dxa" w:w="4320"/>
          </w:tcPr>
          <w:p>
            <w:r>
              <w:t>Validate Marketplace JWT/signature; idempotency keys</w:t>
            </w:r>
          </w:p>
        </w:tc>
      </w:tr>
      <w:tr>
        <w:tc>
          <w:tcPr>
            <w:tcW w:type="dxa" w:w="4320"/>
          </w:tcPr>
          <w:p>
            <w:r>
              <w:t>Token handling</w:t>
            </w:r>
          </w:p>
        </w:tc>
        <w:tc>
          <w:tcPr>
            <w:tcW w:type="dxa" w:w="4320"/>
          </w:tcPr>
          <w:p>
            <w:r>
              <w:t>Marketplace token single-use; never log full token</w:t>
            </w:r>
          </w:p>
        </w:tc>
      </w:tr>
      <w:tr>
        <w:tc>
          <w:tcPr>
            <w:tcW w:type="dxa" w:w="4320"/>
          </w:tcPr>
          <w:p>
            <w:r>
              <w:t>Fulfillment API creds</w:t>
            </w:r>
          </w:p>
        </w:tc>
        <w:tc>
          <w:tcPr>
            <w:tcW w:type="dxa" w:w="4320"/>
          </w:tcPr>
          <w:p>
            <w:r>
              <w:t>Key Vault + managed identity; rotate secrets</w:t>
            </w:r>
          </w:p>
        </w:tc>
      </w:tr>
      <w:tr>
        <w:tc>
          <w:tcPr>
            <w:tcW w:type="dxa" w:w="4320"/>
          </w:tcPr>
          <w:p>
            <w:r>
              <w:t>JWT</w:t>
            </w:r>
          </w:p>
        </w:tc>
        <w:tc>
          <w:tcPr>
            <w:tcW w:type="dxa" w:w="4320"/>
          </w:tcPr>
          <w:p>
            <w:r>
              <w:t>Short-lived; HttpOnly Secure SameSite=None cookie</w:t>
            </w:r>
          </w:p>
        </w:tc>
      </w:tr>
      <w:tr>
        <w:tc>
          <w:tcPr>
            <w:tcW w:type="dxa" w:w="4320"/>
          </w:tcPr>
          <w:p>
            <w:r>
              <w:t>Tenant escalation</w:t>
            </w:r>
          </w:p>
        </w:tc>
        <w:tc>
          <w:tcPr>
            <w:tcW w:type="dxa" w:w="4320"/>
          </w:tcPr>
          <w:p>
            <w:r>
              <w:t>Never trust client-supplied tenant_id; always from validated JWT</w:t>
            </w:r>
          </w:p>
        </w:tc>
      </w:tr>
    </w:tbl>
    <w:p>
      <w:pPr>
        <w:pStyle w:val="Heading2"/>
      </w:pPr>
      <w:r>
        <w:t>10.3 Scalability &amp; Operations</w:t>
      </w:r>
    </w:p>
    <w:tbl>
      <w:tblPr>
        <w:tblStyle w:val="TableGrid"/>
        <w:tblW w:type="auto" w:w="0"/>
        <w:tblLook w:firstColumn="1" w:firstRow="1" w:lastColumn="0" w:lastRow="0" w:noHBand="0" w:noVBand="1" w:val="04A0"/>
      </w:tblPr>
      <w:tblGrid>
        <w:gridCol w:w="4320"/>
        <w:gridCol w:w="4320"/>
      </w:tblGrid>
      <w:tr>
        <w:tc>
          <w:tcPr>
            <w:tcW w:type="dxa" w:w="4320"/>
            <w:shd w:fill="3B82F6" w:val="clear"/>
          </w:tcPr>
          <w:p>
            <w:r>
              <w:rPr>
                <w:b/>
                <w:color w:val="FFFFFF"/>
              </w:rPr>
              <w:t>Concern</w:t>
            </w:r>
          </w:p>
        </w:tc>
        <w:tc>
          <w:tcPr>
            <w:tcW w:type="dxa" w:w="4320"/>
            <w:shd w:fill="3B82F6" w:val="clear"/>
          </w:tcPr>
          <w:p>
            <w:r>
              <w:rPr>
                <w:b/>
                <w:color w:val="FFFFFF"/>
              </w:rPr>
              <w:t>Approach</w:t>
            </w:r>
          </w:p>
        </w:tc>
      </w:tr>
      <w:tr>
        <w:tc>
          <w:tcPr>
            <w:tcW w:type="dxa" w:w="4320"/>
          </w:tcPr>
          <w:p>
            <w:r>
              <w:t>Provisioning burst</w:t>
            </w:r>
          </w:p>
        </w:tc>
        <w:tc>
          <w:tcPr>
            <w:tcW w:type="dxa" w:w="4320"/>
          </w:tcPr>
          <w:p>
            <w:r>
              <w:t>Async Service Bus workers; horizontal scale</w:t>
            </w:r>
          </w:p>
        </w:tc>
      </w:tr>
      <w:tr>
        <w:tc>
          <w:tcPr>
            <w:tcW w:type="dxa" w:w="4320"/>
          </w:tcPr>
          <w:p>
            <w:r>
              <w:t>Webhook spikes</w:t>
            </w:r>
          </w:p>
        </w:tc>
        <w:tc>
          <w:tcPr>
            <w:tcW w:type="dxa" w:w="4320"/>
          </w:tcPr>
          <w:p>
            <w:r>
              <w:t>Queue-first; return 200 immediately</w:t>
            </w:r>
          </w:p>
        </w:tc>
      </w:tr>
      <w:tr>
        <w:tc>
          <w:tcPr>
            <w:tcW w:type="dxa" w:w="4320"/>
          </w:tcPr>
          <w:p>
            <w:r>
              <w:t>Reconciliation</w:t>
            </w:r>
          </w:p>
        </w:tc>
        <w:tc>
          <w:tcPr>
            <w:tcW w:type="dxa" w:w="4320"/>
          </w:tcPr>
          <w:p>
            <w:r>
              <w:t>Nightly Fulfillment API GET vs DB sync job</w:t>
            </w:r>
          </w:p>
        </w:tc>
      </w:tr>
      <w:tr>
        <w:tc>
          <w:tcPr>
            <w:tcW w:type="dxa" w:w="4320"/>
          </w:tcPr>
          <w:p>
            <w:r>
              <w:t>DLQ monitoring</w:t>
            </w:r>
          </w:p>
        </w:tc>
        <w:tc>
          <w:tcPr>
            <w:tcW w:type="dxa" w:w="4320"/>
          </w:tcPr>
          <w:p>
            <w:r>
              <w:t>Alert on failed provisioning jobs</w:t>
            </w:r>
          </w:p>
        </w:tc>
      </w:tr>
      <w:tr>
        <w:tc>
          <w:tcPr>
            <w:tcW w:type="dxa" w:w="4320"/>
          </w:tcPr>
          <w:p>
            <w:r>
              <w:t>Environments</w:t>
            </w:r>
          </w:p>
        </w:tc>
        <w:tc>
          <w:tcPr>
            <w:tcW w:type="dxa" w:w="4320"/>
          </w:tcPr>
          <w:p>
            <w:r>
              <w:t>Separate Landing Page + Webhook URLs per dev/uat/prod in Partner Center</w:t>
            </w:r>
          </w:p>
        </w:tc>
      </w:tr>
    </w:tbl>
    <w:p>
      <w:pPr>
        <w:pStyle w:val="Heading1"/>
      </w:pPr>
      <w:r>
        <w:t>11. Implementation Phases</w:t>
      </w:r>
    </w:p>
    <w:tbl>
      <w:tblPr>
        <w:tblStyle w:val="TableGrid"/>
        <w:tblW w:type="auto" w:w="0"/>
        <w:tblLook w:firstColumn="1" w:firstRow="1" w:lastColumn="0" w:lastRow="0" w:noHBand="0" w:noVBand="1" w:val="04A0"/>
      </w:tblPr>
      <w:tblGrid>
        <w:gridCol w:w="4320"/>
        <w:gridCol w:w="4320"/>
      </w:tblGrid>
      <w:tr>
        <w:tc>
          <w:tcPr>
            <w:tcW w:type="dxa" w:w="4320"/>
            <w:shd w:fill="3B82F6" w:val="clear"/>
          </w:tcPr>
          <w:p>
            <w:r>
              <w:rPr>
                <w:b/>
                <w:color w:val="FFFFFF"/>
              </w:rPr>
              <w:t>Phase</w:t>
            </w:r>
          </w:p>
        </w:tc>
        <w:tc>
          <w:tcPr>
            <w:tcW w:type="dxa" w:w="4320"/>
            <w:shd w:fill="3B82F6" w:val="clear"/>
          </w:tcPr>
          <w:p>
            <w:r>
              <w:rPr>
                <w:b/>
                <w:color w:val="FFFFFF"/>
              </w:rPr>
              <w:t>Deliverables</w:t>
            </w:r>
          </w:p>
        </w:tc>
      </w:tr>
      <w:tr>
        <w:tc>
          <w:tcPr>
            <w:tcW w:type="dxa" w:w="4320"/>
          </w:tcPr>
          <w:p>
            <w:r>
              <w:t>Phase 1 — Foundation</w:t>
            </w:r>
          </w:p>
        </w:tc>
        <w:tc>
          <w:tcPr>
            <w:tcW w:type="dxa" w:w="4320"/>
          </w:tcPr>
          <w:p>
            <w:r>
              <w:t>DB migrations, MarketplaceFulfillmentService, landing page, activate flow</w:t>
            </w:r>
          </w:p>
        </w:tc>
      </w:tr>
      <w:tr>
        <w:tc>
          <w:tcPr>
            <w:tcW w:type="dxa" w:w="4320"/>
          </w:tcPr>
          <w:p>
            <w:r>
              <w:t>Phase 2 — Provisioning</w:t>
            </w:r>
          </w:p>
        </w:tc>
        <w:tc>
          <w:tcPr>
            <w:tcW w:type="dxa" w:w="4320"/>
          </w:tcPr>
          <w:p>
            <w:r>
              <w:t>Tenant/user/role auto-provision, learn.* seed, welcome email</w:t>
            </w:r>
          </w:p>
        </w:tc>
      </w:tr>
      <w:tr>
        <w:tc>
          <w:tcPr>
            <w:tcW w:type="dxa" w:w="4320"/>
          </w:tcPr>
          <w:p>
            <w:r>
              <w:t>Phase 3 — Lifecycle</w:t>
            </w:r>
          </w:p>
        </w:tc>
        <w:tc>
          <w:tcPr>
            <w:tcW w:type="dxa" w:w="4320"/>
          </w:tcPr>
          <w:p>
            <w:r>
              <w:t>Webhook handler, suspend/cancel/reinstate, seat management</w:t>
            </w:r>
          </w:p>
        </w:tc>
      </w:tr>
      <w:tr>
        <w:tc>
          <w:tcPr>
            <w:tcW w:type="dxa" w:w="4320"/>
          </w:tcPr>
          <w:p>
            <w:r>
              <w:t>Phase 4 — Auth Hardening</w:t>
            </w:r>
          </w:p>
        </w:tc>
        <w:tc>
          <w:tcPr>
            <w:tcW w:type="dxa" w:w="4320"/>
          </w:tcPr>
          <w:p>
            <w:r>
              <w:t>Extended JWT claims, subscription gate on login, Learn middleware update</w:t>
            </w:r>
          </w:p>
        </w:tc>
      </w:tr>
      <w:tr>
        <w:tc>
          <w:tcPr>
            <w:tcW w:type="dxa" w:w="4320"/>
          </w:tcPr>
          <w:p>
            <w:r>
              <w:t>Phase 5 — Operations</w:t>
            </w:r>
          </w:p>
        </w:tc>
        <w:tc>
          <w:tcPr>
            <w:tcW w:type="dxa" w:w="4320"/>
          </w:tcPr>
          <w:p>
            <w:r>
              <w:t>Reconciliation, dashboards, Partner Center go-live</w:t>
            </w:r>
          </w:p>
        </w:tc>
      </w:tr>
    </w:tbl>
    <w:p>
      <w:r>
        <w:br w:type="page"/>
      </w:r>
    </w:p>
    <w:p>
      <w:pPr>
        <w:pStyle w:val="Heading1"/>
      </w:pPr>
      <w:r>
        <w:t>Appendix A — SQL DDL (core.MarketplaceSubscriptions)</w:t>
      </w:r>
    </w:p>
    <w:p>
      <w:pPr>
        <w:pStyle w:val="IntenseQuote"/>
      </w:pPr>
      <w:r>
        <w:t>CREATE TABLE [core].[MarketplaceSubscriptions] (</w:t>
        <w:br/>
        <w:t xml:space="preserve">    [Id]                    UNIQUEIDENTIFIER NOT NULL DEFAULT NEWSEQUENTIALID(),</w:t>
        <w:br/>
        <w:t xml:space="preserve">    [SubscriptionId]        UNIQUEIDENTIFIER NULL,</w:t>
        <w:br/>
        <w:t xml:space="preserve">    [AzureSubscriptionId]   NVARCHAR(200)    NOT NULL,</w:t>
        <w:br/>
        <w:t xml:space="preserve">    [OfferId]               NVARCHAR(200)    NOT NULL,</w:t>
        <w:br/>
        <w:t xml:space="preserve">    [PlanId]                NVARCHAR(100)    NOT NULL,</w:t>
        <w:br/>
        <w:t xml:space="preserve">    [ProductId]             UNIQUEIDENTIFIER NOT NULL,</w:t>
        <w:br/>
        <w:t xml:space="preserve">    [SaasStatus]            NVARCHAR(50)     NOT NULL,</w:t>
        <w:br/>
        <w:t xml:space="preserve">    [PurchaserEmail]        NVARCHAR(256)    NOT NULL,</w:t>
        <w:br/>
        <w:t xml:space="preserve">    [BeneficiaryEmail]      NVARCHAR(256)    NULL,</w:t>
        <w:br/>
        <w:t xml:space="preserve">    [PurchaserTenantId]     NVARCHAR(100)    NULL,</w:t>
        <w:br/>
        <w:t xml:space="preserve">    [Quantity]              INT              NOT NULL DEFAULT 1,</w:t>
        <w:br/>
        <w:t xml:space="preserve">    [ResolvedPayloadJson]   NVARCHAR(MAX)    NULL,</w:t>
        <w:br/>
        <w:t xml:space="preserve">    [ResolvedAt]            DATETIME2        NOT NULL,</w:t>
        <w:br/>
        <w:t xml:space="preserve">    [ActivatedAt]           DATETIME2        NULL,</w:t>
        <w:br/>
        <w:t xml:space="preserve">    [LastWebhookAt]         DATETIME2        NULL,</w:t>
        <w:br/>
        <w:t xml:space="preserve">    [CreatedAt]             DATETIME2        NOT NULL DEFAULT GETUTCDATE(),</w:t>
        <w:br/>
        <w:t xml:space="preserve">    [UpdatedAt]             DATETIME2        NULL,</w:t>
        <w:br/>
        <w:t xml:space="preserve">    [IsDeleted]             BIT              NOT NULL DEFAULT 0,</w:t>
        <w:br/>
        <w:t xml:space="preserve">    CONSTRAINT [PK_MarketplaceSubscriptions] PRIMARY KEY ([Id]),</w:t>
        <w:br/>
        <w:t xml:space="preserve">    CONSTRAINT [FK_MarketplaceSubscriptions_Products] FOREIGN KEY ([ProductId]) REFERENCES [core].[Products]([Id]),</w:t>
        <w:br/>
        <w:t xml:space="preserve">    CONSTRAINT [FK_MarketplaceSubscriptions_Subscriptions] FOREIGN KEY ([SubscriptionId]) REFERENCES [core].[Subscriptions]([Id]),</w:t>
        <w:br/>
        <w:t xml:space="preserve">    CONSTRAINT [UQ_MarketplaceSubscriptions_AzureSubscriptionId] UNIQUE ([AzureSubscriptionId])</w:t>
        <w:br/>
        <w:t>);</w:t>
      </w:r>
    </w:p>
    <w:p>
      <w:pPr>
        <w:pStyle w:val="Heading1"/>
      </w:pPr>
      <w:r>
        <w:t>Appendix B — Draw.io Diagram Index</w:t>
      </w:r>
    </w:p>
    <w:p>
      <w:pPr>
        <w:pStyle w:val="ListBullet"/>
      </w:pPr>
      <w:r>
        <w:t>1-High-Level-Architecture</w:t>
      </w:r>
    </w:p>
    <w:p>
      <w:pPr>
        <w:pStyle w:val="ListBullet"/>
      </w:pPr>
      <w:r>
        <w:t>2-End-to-End-Sequence</w:t>
      </w:r>
    </w:p>
    <w:p>
      <w:pPr>
        <w:pStyle w:val="ListBullet"/>
      </w:pPr>
      <w:r>
        <w:t>3-SaaS-Onboarding-Flow</w:t>
      </w:r>
    </w:p>
    <w:p>
      <w:pPr>
        <w:pStyle w:val="ListBullet"/>
      </w:pPr>
      <w:r>
        <w:t>4-Database-ER-Diagram</w:t>
      </w:r>
    </w:p>
    <w:p>
      <w:pPr>
        <w:pStyle w:val="ListBullet"/>
      </w:pPr>
      <w:r>
        <w:t>5-Integration-Design</w:t>
      </w:r>
    </w:p>
    <w:p>
      <w:pPr>
        <w:pStyle w:val="ListBullet"/>
      </w:pPr>
      <w:r>
        <w:t>6-Authentication-Flow</w:t>
      </w:r>
    </w:p>
    <w:p>
      <w:pPr>
        <w:pStyle w:val="ListBullet"/>
      </w:pPr>
      <w:r>
        <w:t>7-System-Flow-Steps</w:t>
      </w:r>
    </w:p>
    <w:p>
      <w:pPr>
        <w:pStyle w:val="ListBullet"/>
      </w:pPr>
      <w:r>
        <w:t>8-Deployment-Architecture</w:t>
      </w:r>
    </w:p>
    <w:p>
      <w:pPr>
        <w:pStyle w:val="ListBullet"/>
      </w:pPr>
      <w:r>
        <w:t>9-Subscription-Lifecycle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