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center"/>
      </w:pPr>
      <w:r>
        <w:rPr>
          <w:rFonts w:ascii="Calibri" w:hAnsi="Calibri"/>
          <w:b/>
          <w:color w:val="1F3A5F"/>
          <w:sz w:val="56"/>
        </w:rPr>
        <w:t>Nexa</w:t>
      </w:r>
    </w:p>
    <w:p>
      <w:pPr>
        <w:spacing w:after="240" w:before="0"/>
        <w:jc w:val="center"/>
      </w:pPr>
      <w:r>
        <w:rPr>
          <w:rFonts w:ascii="Calibri" w:hAnsi="Calibri"/>
          <w:b/>
          <w:color w:val="007A87"/>
          <w:sz w:val="32"/>
        </w:rPr>
        <w:t>Tech Team Alignment Session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304"/>
            <w:shd w:fill="1F3A5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7056"/>
            <w:shd w:fill="1F3A5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304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20"/>
              </w:rPr>
              <w:t>Purpose</w:t>
            </w:r>
          </w:p>
        </w:tc>
        <w:tc>
          <w:tcPr>
            <w:tcW w:type="dxa" w:w="7056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Align on Nexa's current state, priorities, and Product Team inputs needed to support continuous improvement within the AG ONE ecosystem.</w:t>
            </w:r>
          </w:p>
        </w:tc>
      </w:tr>
      <w:tr>
        <w:tc>
          <w:tcPr>
            <w:tcW w:type="dxa" w:w="2304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20"/>
              </w:rPr>
              <w:t>Reference Material</w:t>
            </w:r>
          </w:p>
        </w:tc>
        <w:tc>
          <w:tcPr>
            <w:tcW w:type="dxa" w:w="7056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UAT - 28th June 2026.xlsx (Nexa tab)</w:t>
            </w:r>
          </w:p>
        </w:tc>
      </w:tr>
      <w:tr>
        <w:tc>
          <w:tcPr>
            <w:tcW w:type="dxa" w:w="2304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20"/>
              </w:rPr>
              <w:t>Session Duration</w:t>
            </w:r>
          </w:p>
        </w:tc>
        <w:tc>
          <w:tcPr>
            <w:tcW w:type="dxa" w:w="7056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60–90 minutes</w:t>
            </w:r>
          </w:p>
        </w:tc>
      </w:tr>
      <w:tr>
        <w:tc>
          <w:tcPr>
            <w:tcW w:type="dxa" w:w="2304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20"/>
              </w:rPr>
              <w:t>Document Version</w:t>
            </w:r>
          </w:p>
        </w:tc>
        <w:tc>
          <w:tcPr>
            <w:tcW w:type="dxa" w:w="7056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1.0 | July 2026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F3A5F"/>
        </w:rPr>
        <w:t>Key Discussion 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504"/>
            <w:shd w:fill="1F3A5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520"/>
            <w:shd w:fill="1F3A5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6336"/>
            <w:shd w:fill="1F3A5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Discussion Focus</w:t>
            </w:r>
          </w:p>
        </w:tc>
      </w:tr>
      <w:tr>
        <w:tc>
          <w:tcPr>
            <w:tcW w:type="dxa" w:w="504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20"/>
              </w:rPr>
              <w:t>1</w:t>
            </w:r>
          </w:p>
        </w:tc>
        <w:tc>
          <w:tcPr>
            <w:tcW w:type="dxa" w:w="252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Current capabilities &amp; product vision</w:t>
            </w:r>
          </w:p>
        </w:tc>
        <w:tc>
          <w:tcPr>
            <w:tcW w:type="dxa" w:w="6336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Review what Nexa can do today; assess alignment with product vision and AG ONE strategy.</w:t>
            </w:r>
          </w:p>
        </w:tc>
      </w:tr>
      <w:tr>
        <w:tc>
          <w:tcPr>
            <w:tcW w:type="dxa" w:w="504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20"/>
              </w:rPr>
              <w:t>2</w:t>
            </w:r>
          </w:p>
        </w:tc>
        <w:tc>
          <w:tcPr>
            <w:tcW w:type="dxa" w:w="252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UAT review (28 June 2026)</w:t>
            </w:r>
          </w:p>
        </w:tc>
        <w:tc>
          <w:tcPr>
            <w:tcW w:type="dxa" w:w="6336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Walk through Nexa tab items; confirm status, severity, and ownership for open items.</w:t>
            </w:r>
          </w:p>
        </w:tc>
      </w:tr>
      <w:tr>
        <w:tc>
          <w:tcPr>
            <w:tcW w:type="dxa" w:w="504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20"/>
              </w:rPr>
              <w:t>3</w:t>
            </w:r>
          </w:p>
        </w:tc>
        <w:tc>
          <w:tcPr>
            <w:tcW w:type="dxa" w:w="252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Hybrid knowledge model</w:t>
            </w:r>
          </w:p>
        </w:tc>
        <w:tc>
          <w:tcPr>
            <w:tcW w:type="dxa" w:w="6336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How Nexa combines KB-driven knowledge with dynamic data sources; gaps, risks, and opportunities.</w:t>
            </w:r>
          </w:p>
        </w:tc>
      </w:tr>
      <w:tr>
        <w:tc>
          <w:tcPr>
            <w:tcW w:type="dxa" w:w="504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20"/>
              </w:rPr>
              <w:t>4</w:t>
            </w:r>
          </w:p>
        </w:tc>
        <w:tc>
          <w:tcPr>
            <w:tcW w:type="dxa" w:w="252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Lead conversion &amp; user journeys</w:t>
            </w:r>
          </w:p>
        </w:tc>
        <w:tc>
          <w:tcPr>
            <w:tcW w:type="dxa" w:w="6336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Navigation guidance, lead generation, sign-up, product discovery, and purchase handoffs.</w:t>
            </w:r>
          </w:p>
        </w:tc>
      </w:tr>
      <w:tr>
        <w:tc>
          <w:tcPr>
            <w:tcW w:type="dxa" w:w="504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20"/>
              </w:rPr>
              <w:t>5</w:t>
            </w:r>
          </w:p>
        </w:tc>
        <w:tc>
          <w:tcPr>
            <w:tcW w:type="dxa" w:w="252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Response formats, behavior &amp; UX</w:t>
            </w:r>
          </w:p>
        </w:tc>
        <w:tc>
          <w:tcPr>
            <w:tcW w:type="dxa" w:w="6336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Tone, structure, interaction patterns, and overall end-user experience quality.</w:t>
            </w:r>
          </w:p>
        </w:tc>
      </w:tr>
      <w:tr>
        <w:tc>
          <w:tcPr>
            <w:tcW w:type="dxa" w:w="504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20"/>
              </w:rPr>
              <w:t>6</w:t>
            </w:r>
          </w:p>
        </w:tc>
        <w:tc>
          <w:tcPr>
            <w:tcW w:type="dxa" w:w="252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Troubleshooting, support &amp; guidance</w:t>
            </w:r>
          </w:p>
        </w:tc>
        <w:tc>
          <w:tcPr>
            <w:tcW w:type="dxa" w:w="6336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In-conversation support, ticket submission, escalation paths, and self-serve boundaries.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F3A5F"/>
        </w:rPr>
        <w:t>Information Required from the Product Team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160"/>
            <w:shd w:fill="1F3A5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5040"/>
            <w:shd w:fill="1F3A5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What We Need</w:t>
            </w:r>
          </w:p>
        </w:tc>
        <w:tc>
          <w:tcPr>
            <w:tcW w:type="dxa" w:w="2160"/>
            <w:shd w:fill="1F3A5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Owner</w:t>
            </w:r>
          </w:p>
        </w:tc>
      </w:tr>
      <w:tr>
        <w:tc>
          <w:tcPr>
            <w:tcW w:type="dxa" w:w="216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20"/>
              </w:rPr>
              <w:t>Use cases</w:t>
            </w:r>
          </w:p>
        </w:tc>
        <w:tc>
          <w:tcPr>
            <w:tcW w:type="dxa" w:w="504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Use-case template and populated examples</w:t>
            </w:r>
          </w:p>
        </w:tc>
        <w:tc>
          <w:tcPr>
            <w:tcW w:type="dxa" w:w="216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Product Team</w:t>
            </w:r>
          </w:p>
        </w:tc>
      </w:tr>
      <w:tr>
        <w:tc>
          <w:tcPr>
            <w:tcW w:type="dxa" w:w="216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20"/>
              </w:rPr>
              <w:t>Additional requirements</w:t>
            </w:r>
          </w:p>
        </w:tc>
        <w:tc>
          <w:tcPr>
            <w:tcW w:type="dxa" w:w="504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Any new or changed requirements not yet captured</w:t>
            </w:r>
          </w:p>
        </w:tc>
        <w:tc>
          <w:tcPr>
            <w:tcW w:type="dxa" w:w="216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Product Team</w:t>
            </w:r>
          </w:p>
        </w:tc>
      </w:tr>
      <w:tr>
        <w:tc>
          <w:tcPr>
            <w:tcW w:type="dxa" w:w="216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20"/>
              </w:rPr>
              <w:t>Considerations</w:t>
            </w:r>
          </w:p>
        </w:tc>
        <w:tc>
          <w:tcPr>
            <w:tcW w:type="dxa" w:w="504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Constraints, compliance, branding, or market-specific needs</w:t>
            </w:r>
          </w:p>
        </w:tc>
        <w:tc>
          <w:tcPr>
            <w:tcW w:type="dxa" w:w="216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Product Team</w:t>
            </w:r>
          </w:p>
        </w:tc>
      </w:tr>
      <w:tr>
        <w:tc>
          <w:tcPr>
            <w:tcW w:type="dxa" w:w="216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20"/>
              </w:rPr>
              <w:t>Relevant documentation</w:t>
            </w:r>
          </w:p>
        </w:tc>
        <w:tc>
          <w:tcPr>
            <w:tcW w:type="dxa" w:w="504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PRDs, journey maps, KB ownership, or other reference material</w:t>
            </w:r>
          </w:p>
        </w:tc>
        <w:tc>
          <w:tcPr>
            <w:tcW w:type="dxa" w:w="216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Product Team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F3A5F"/>
        </w:rPr>
        <w:t>Expected Outcomes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160"/>
            <w:shd w:fill="1F3A5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Outcome</w:t>
            </w:r>
          </w:p>
        </w:tc>
        <w:tc>
          <w:tcPr>
            <w:tcW w:type="dxa" w:w="7200"/>
            <w:shd w:fill="1F3A5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20"/>
              </w:rPr>
              <w:t>Alignment</w:t>
            </w:r>
          </w:p>
        </w:tc>
        <w:tc>
          <w:tcPr>
            <w:tcW w:type="dxa" w:w="72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Shared understanding of Nexa's role and objectives within the AG ONE ecosystem.</w:t>
            </w:r>
          </w:p>
        </w:tc>
      </w:tr>
      <w:tr>
        <w:tc>
          <w:tcPr>
            <w:tcW w:type="dxa" w:w="216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20"/>
              </w:rPr>
              <w:t>Prioritization</w:t>
            </w:r>
          </w:p>
        </w:tc>
        <w:tc>
          <w:tcPr>
            <w:tcW w:type="dxa" w:w="72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Identified improvement opportunities and a ranked enhancement backlog.</w:t>
            </w:r>
          </w:p>
        </w:tc>
      </w:tr>
      <w:tr>
        <w:tc>
          <w:tcPr>
            <w:tcW w:type="dxa" w:w="216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20"/>
              </w:rPr>
              <w:t>Clarity on inputs</w:t>
            </w:r>
          </w:p>
        </w:tc>
        <w:tc>
          <w:tcPr>
            <w:tcW w:type="dxa" w:w="720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Clear list of Product Team deliverables required for continuous improvement and scalability.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F3A5F"/>
        </w:rPr>
        <w:t>Attendees</w:t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>Please extend this invitation to any relevant Nexa team members as needed.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shd w:fill="1F3A5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Role / Team</w:t>
            </w:r>
          </w:p>
        </w:tc>
        <w:tc>
          <w:tcPr>
            <w:tcW w:type="dxa" w:w="6480"/>
            <w:shd w:fill="1F3A5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Why They Should Attend</w:t>
            </w:r>
          </w:p>
        </w:tc>
      </w:tr>
      <w:tr>
        <w:tc>
          <w:tcPr>
            <w:tcW w:type="dxa" w:w="288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20"/>
              </w:rPr>
              <w:t>Nexa engineering / platform</w:t>
            </w:r>
          </w:p>
        </w:tc>
        <w:tc>
          <w:tcPr>
            <w:tcW w:type="dxa" w:w="648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Technical capabilities, architecture, and implementation constraints.</w:t>
            </w:r>
          </w:p>
        </w:tc>
      </w:tr>
      <w:tr>
        <w:tc>
          <w:tcPr>
            <w:tcW w:type="dxa" w:w="288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20"/>
              </w:rPr>
              <w:t>Product (AG ONE / Nexa)</w:t>
            </w:r>
          </w:p>
        </w:tc>
        <w:tc>
          <w:tcPr>
            <w:tcW w:type="dxa" w:w="648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Vision alignment, use cases, and requirement prioritization.</w:t>
            </w:r>
          </w:p>
        </w:tc>
      </w:tr>
      <w:tr>
        <w:tc>
          <w:tcPr>
            <w:tcW w:type="dxa" w:w="288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20"/>
              </w:rPr>
              <w:t>QA / UAT owners</w:t>
            </w:r>
          </w:p>
        </w:tc>
        <w:tc>
          <w:tcPr>
            <w:tcW w:type="dxa" w:w="648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Review of 28 June UAT findings and validation status.</w:t>
            </w:r>
          </w:p>
        </w:tc>
      </w:tr>
      <w:tr>
        <w:tc>
          <w:tcPr>
            <w:tcW w:type="dxa" w:w="288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20"/>
              </w:rPr>
              <w:t>Support / operations</w:t>
            </w:r>
          </w:p>
        </w:tc>
        <w:tc>
          <w:tcPr>
            <w:tcW w:type="dxa" w:w="648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Ticket flows, escalation paths, and operational guidance needs.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F3A5F"/>
        </w:rPr>
        <w:t>Suggested Agenda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080"/>
            <w:shd w:fill="1F3A5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3240"/>
            <w:shd w:fill="1F3A5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5040"/>
            <w:shd w:fill="1F3A5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Objective</w:t>
            </w:r>
          </w:p>
        </w:tc>
      </w:tr>
      <w:tr>
        <w:tc>
          <w:tcPr>
            <w:tcW w:type="dxa" w:w="108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20"/>
              </w:rPr>
              <w:t>5 min</w:t>
            </w:r>
          </w:p>
        </w:tc>
        <w:tc>
          <w:tcPr>
            <w:tcW w:type="dxa" w:w="324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Objectives &amp; expected outcomes</w:t>
            </w:r>
          </w:p>
        </w:tc>
        <w:tc>
          <w:tcPr>
            <w:tcW w:type="dxa" w:w="504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Set context and agree on session goals.</w:t>
            </w:r>
          </w:p>
        </w:tc>
      </w:tr>
      <w:tr>
        <w:tc>
          <w:tcPr>
            <w:tcW w:type="dxa" w:w="108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20"/>
              </w:rPr>
              <w:t>15 min</w:t>
            </w:r>
          </w:p>
        </w:tc>
        <w:tc>
          <w:tcPr>
            <w:tcW w:type="dxa" w:w="324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Current capabilities vs. product vision</w:t>
            </w:r>
          </w:p>
        </w:tc>
        <w:tc>
          <w:tcPr>
            <w:tcW w:type="dxa" w:w="504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Baseline understanding of where Nexa stands today.</w:t>
            </w:r>
          </w:p>
        </w:tc>
      </w:tr>
      <w:tr>
        <w:tc>
          <w:tcPr>
            <w:tcW w:type="dxa" w:w="108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20"/>
              </w:rPr>
              <w:t>20 min</w:t>
            </w:r>
          </w:p>
        </w:tc>
        <w:tc>
          <w:tcPr>
            <w:tcW w:type="dxa" w:w="324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UAT Nexa tab — review &amp; triage</w:t>
            </w:r>
          </w:p>
        </w:tc>
        <w:tc>
          <w:tcPr>
            <w:tcW w:type="dxa" w:w="504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Review open items; assign severity and ownership.</w:t>
            </w:r>
          </w:p>
        </w:tc>
      </w:tr>
      <w:tr>
        <w:tc>
          <w:tcPr>
            <w:tcW w:type="dxa" w:w="108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20"/>
              </w:rPr>
              <w:t>15 min</w:t>
            </w:r>
          </w:p>
        </w:tc>
        <w:tc>
          <w:tcPr>
            <w:tcW w:type="dxa" w:w="324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Hybrid knowledge model</w:t>
            </w:r>
          </w:p>
        </w:tc>
        <w:tc>
          <w:tcPr>
            <w:tcW w:type="dxa" w:w="504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Discuss KB + dynamic data approach and gaps.</w:t>
            </w:r>
          </w:p>
        </w:tc>
      </w:tr>
      <w:tr>
        <w:tc>
          <w:tcPr>
            <w:tcW w:type="dxa" w:w="108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20"/>
              </w:rPr>
              <w:t>15 min</w:t>
            </w:r>
          </w:p>
        </w:tc>
        <w:tc>
          <w:tcPr>
            <w:tcW w:type="dxa" w:w="324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Lead conversion, UX &amp; support flows</w:t>
            </w:r>
          </w:p>
        </w:tc>
        <w:tc>
          <w:tcPr>
            <w:tcW w:type="dxa" w:w="504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Align on user journeys and experience standards.</w:t>
            </w:r>
          </w:p>
        </w:tc>
      </w:tr>
      <w:tr>
        <w:tc>
          <w:tcPr>
            <w:tcW w:type="dxa" w:w="108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20"/>
              </w:rPr>
              <w:t>10 min</w:t>
            </w:r>
          </w:p>
        </w:tc>
        <w:tc>
          <w:tcPr>
            <w:tcW w:type="dxa" w:w="324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Product inputs &amp; next steps</w:t>
            </w:r>
          </w:p>
        </w:tc>
        <w:tc>
          <w:tcPr>
            <w:tcW w:type="dxa" w:w="504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Confirm deliverables, owners, and follow-up cadence.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F3A5F"/>
        </w:rPr>
        <w:t>Pre-read / Bring to the Session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720"/>
            <w:shd w:fill="1F3A5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Check</w:t>
            </w:r>
          </w:p>
        </w:tc>
        <w:tc>
          <w:tcPr>
            <w:tcW w:type="dxa" w:w="5760"/>
            <w:shd w:fill="1F3A5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Material</w:t>
            </w:r>
          </w:p>
        </w:tc>
        <w:tc>
          <w:tcPr>
            <w:tcW w:type="dxa" w:w="1440"/>
            <w:shd w:fill="1F3A5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72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20"/>
              </w:rPr>
              <w:t>☐</w:t>
            </w:r>
          </w:p>
        </w:tc>
        <w:tc>
          <w:tcPr>
            <w:tcW w:type="dxa" w:w="576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UAT - 28th June 2026.xlsx (Nexa tab)</w:t>
            </w:r>
          </w:p>
        </w:tc>
        <w:tc>
          <w:tcPr>
            <w:tcW w:type="dxa" w:w="144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Required</w:t>
            </w:r>
          </w:p>
        </w:tc>
      </w:tr>
      <w:tr>
        <w:tc>
          <w:tcPr>
            <w:tcW w:type="dxa" w:w="72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20"/>
              </w:rPr>
              <w:t>☐</w:t>
            </w:r>
          </w:p>
        </w:tc>
        <w:tc>
          <w:tcPr>
            <w:tcW w:type="dxa" w:w="576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Current Nexa capability overview (if available)</w:t>
            </w:r>
          </w:p>
        </w:tc>
        <w:tc>
          <w:tcPr>
            <w:tcW w:type="dxa" w:w="144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Recommended</w:t>
            </w:r>
          </w:p>
        </w:tc>
      </w:tr>
      <w:tr>
        <w:tc>
          <w:tcPr>
            <w:tcW w:type="dxa" w:w="72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20"/>
              </w:rPr>
              <w:t>☐</w:t>
            </w:r>
          </w:p>
        </w:tc>
        <w:tc>
          <w:tcPr>
            <w:tcW w:type="dxa" w:w="576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Use-case template (Product Team)</w:t>
            </w:r>
          </w:p>
        </w:tc>
        <w:tc>
          <w:tcPr>
            <w:tcW w:type="dxa" w:w="144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Required</w:t>
            </w:r>
          </w:p>
        </w:tc>
      </w:tr>
      <w:tr>
        <w:tc>
          <w:tcPr>
            <w:tcW w:type="dxa" w:w="72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20"/>
              </w:rPr>
              <w:t>☐</w:t>
            </w:r>
          </w:p>
        </w:tc>
        <w:tc>
          <w:tcPr>
            <w:tcW w:type="dxa" w:w="576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List of open questions or blockers from engineering</w:t>
            </w:r>
          </w:p>
        </w:tc>
        <w:tc>
          <w:tcPr>
            <w:tcW w:type="dxa" w:w="144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Recommended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F3A5F"/>
        </w:rPr>
        <w:t>Next Steps (to Confirm in Session)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4608"/>
            <w:shd w:fill="1F3A5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Action Item</w:t>
            </w:r>
          </w:p>
        </w:tc>
        <w:tc>
          <w:tcPr>
            <w:tcW w:type="dxa" w:w="2016"/>
            <w:shd w:fill="1F3A5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Owner</w:t>
            </w:r>
          </w:p>
        </w:tc>
        <w:tc>
          <w:tcPr>
            <w:tcW w:type="dxa" w:w="2016"/>
            <w:shd w:fill="1F3A5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Target Date</w:t>
            </w:r>
          </w:p>
        </w:tc>
      </w:tr>
      <w:tr>
        <w:tc>
          <w:tcPr>
            <w:tcW w:type="dxa" w:w="460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20"/>
              </w:rPr>
              <w:t>Agreed priority list from UAT and capability gaps</w:t>
            </w:r>
          </w:p>
        </w:tc>
        <w:tc>
          <w:tcPr>
            <w:tcW w:type="dxa" w:w="2016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TBD</w:t>
            </w:r>
          </w:p>
        </w:tc>
        <w:tc>
          <w:tcPr>
            <w:tcW w:type="dxa" w:w="2016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TBD</w:t>
            </w:r>
          </w:p>
        </w:tc>
      </w:tr>
      <w:tr>
        <w:tc>
          <w:tcPr>
            <w:tcW w:type="dxa" w:w="4608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20"/>
              </w:rPr>
              <w:t>Owners and target dates for top items</w:t>
            </w:r>
          </w:p>
        </w:tc>
        <w:tc>
          <w:tcPr>
            <w:tcW w:type="dxa" w:w="2016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TBD</w:t>
            </w:r>
          </w:p>
        </w:tc>
        <w:tc>
          <w:tcPr>
            <w:tcW w:type="dxa" w:w="2016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TBD</w:t>
            </w:r>
          </w:p>
        </w:tc>
      </w:tr>
      <w:tr>
        <w:tc>
          <w:tcPr>
            <w:tcW w:type="dxa" w:w="4608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20"/>
              </w:rPr>
              <w:t>Product deliverables and due dates (use cases, docs)</w:t>
            </w:r>
          </w:p>
        </w:tc>
        <w:tc>
          <w:tcPr>
            <w:tcW w:type="dxa" w:w="2016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Product Team</w:t>
            </w:r>
          </w:p>
        </w:tc>
        <w:tc>
          <w:tcPr>
            <w:tcW w:type="dxa" w:w="2016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TBD</w:t>
            </w:r>
          </w:p>
        </w:tc>
      </w:tr>
      <w:tr>
        <w:tc>
          <w:tcPr>
            <w:tcW w:type="dxa" w:w="4608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20"/>
              </w:rPr>
              <w:t>Follow-up cadence (e.g. weekly sync or milestone review)</w:t>
            </w:r>
          </w:p>
        </w:tc>
        <w:tc>
          <w:tcPr>
            <w:tcW w:type="dxa" w:w="2016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TBD</w:t>
            </w:r>
          </w:p>
        </w:tc>
        <w:tc>
          <w:tcPr>
            <w:tcW w:type="dxa" w:w="2016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0"/>
              </w:rPr>
              <w:t>TBD</w:t>
            </w:r>
          </w:p>
        </w:tc>
      </w:tr>
    </w:tbl>
    <w:p/>
    <w:p/>
    <w:p>
      <w:pPr>
        <w:spacing w:after="0" w:before="0"/>
        <w:jc w:val="center"/>
      </w:pPr>
      <w:r>
        <w:rPr>
          <w:rFonts w:ascii="Calibri" w:hAnsi="Calibri"/>
          <w:b w:val="0"/>
          <w:color w:val="666666"/>
          <w:sz w:val="18"/>
        </w:rPr>
        <w:t>AG ONE  |  Nexa Alignment Session  |  Confidential — Internal Use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