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B6DE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Computer Networks</w:t>
      </w:r>
    </w:p>
    <w:p w14:paraId="20DFDD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Complex Computing Problem</w:t>
      </w:r>
    </w:p>
    <w:p w14:paraId="73E7561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Section: V2</w:t>
      </w:r>
    </w:p>
    <w:p w14:paraId="41AEC5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1D603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Members:</w:t>
      </w:r>
    </w:p>
    <w:p w14:paraId="3B62A2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Zainab Imran F2024266205</w:t>
      </w:r>
    </w:p>
    <w:p w14:paraId="1BAD74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Mariam Amin F 2024266274</w:t>
      </w:r>
    </w:p>
    <w:p w14:paraId="2E0356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7483B9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Presented To: Sir. Dr. Naeem Ahmad</w:t>
      </w:r>
    </w:p>
    <w:p w14:paraId="1730A9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A8550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Problem Statement: Design of an Efficient IP Addressing and Subnetting Scheme for a University </w:t>
      </w:r>
    </w:p>
    <w:p w14:paraId="1AEED0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Network </w:t>
      </w:r>
    </w:p>
    <w:p w14:paraId="773567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You have been hired as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network consultant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mid-sized university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The university has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eight </w:t>
      </w:r>
    </w:p>
    <w:p w14:paraId="454A6A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departments and blocks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that need to be connected through a well-planned network: </w:t>
      </w:r>
    </w:p>
    <w:p w14:paraId="0AFF67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Departments and Blocks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Computer Science (CS), Software Engineering (SE), Informatics </w:t>
      </w:r>
    </w:p>
    <w:p w14:paraId="0ED708B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Systems (INFS), Civil Engineering, Admin Office, Library, Faculty Block, and Hostel. </w:t>
      </w:r>
    </w:p>
    <w:p w14:paraId="32264CA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Each department requires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different size of network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— large, medium, or small — depending on the </w:t>
      </w:r>
    </w:p>
    <w:p w14:paraId="735DB14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number of users (students, staff, and devices) and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anticipated future growth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4E465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university has been assigned 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single IP block: 192.168.0.0/22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which includes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1024 total IP </w:t>
      </w:r>
    </w:p>
    <w:p w14:paraId="56863DF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addresses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Your job is to design an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efficient IP addressing and subnetting plan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for this network.</w:t>
      </w:r>
    </w:p>
    <w:p w14:paraId="3EE9E479">
      <w:pPr>
        <w:jc w:val="both"/>
        <w:rPr>
          <w:sz w:val="24"/>
          <w:szCs w:val="24"/>
        </w:rPr>
      </w:pPr>
    </w:p>
    <w:p w14:paraId="1B5EE8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 xml:space="preserve">1.1 Binary and Decimal Representation </w:t>
      </w:r>
    </w:p>
    <w:p w14:paraId="5F81C8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IP version 4 (IPv4) addresses consist of 32 bits, expressed as four 8-bit octets in dotted-decimal notation. Each </w:t>
      </w:r>
    </w:p>
    <w:p w14:paraId="120A31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>octet ranges from 0 to 255. The conversion between binary and decimal is fundamental to subnetting.</w:t>
      </w:r>
    </w:p>
    <w:p w14:paraId="1ED805AE">
      <w:pPr>
        <w:jc w:val="both"/>
      </w:pPr>
    </w:p>
    <w:p w14:paraId="1DC6094B">
      <w:pPr>
        <w:jc w:val="both"/>
      </w:pPr>
      <w:r>
        <w:drawing>
          <wp:inline distT="0" distB="0" distL="114300" distR="114300">
            <wp:extent cx="4048125" cy="1628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8DB3">
      <w:pPr>
        <w:jc w:val="both"/>
        <w:rPr>
          <w:sz w:val="24"/>
          <w:szCs w:val="24"/>
        </w:rPr>
      </w:pPr>
    </w:p>
    <w:p w14:paraId="0EEDCE50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</w:p>
    <w:p w14:paraId="4158D62E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</w:p>
    <w:p w14:paraId="47189849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</w:p>
    <w:p w14:paraId="407BB0C0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</w:p>
    <w:p w14:paraId="3A4AD6E8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</w:p>
    <w:p w14:paraId="67FD25E2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</w:p>
    <w:p w14:paraId="37F2156B">
      <w:pPr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  <w:lang w:val="en-US"/>
        </w:rPr>
        <w:t>1.2 IP Addresses</w:t>
      </w:r>
    </w:p>
    <w:p w14:paraId="3CBB77FF">
      <w:pPr>
        <w:jc w:val="both"/>
      </w:pPr>
      <w:r>
        <w:drawing>
          <wp:inline distT="0" distB="0" distL="114300" distR="114300">
            <wp:extent cx="5268595" cy="169291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580B">
      <w:pPr>
        <w:keepNext w:val="0"/>
        <w:keepLines w:val="0"/>
        <w:widowControl/>
        <w:suppressLineNumbers w:val="0"/>
        <w:jc w:val="both"/>
        <w:rPr>
          <w:rFonts w:ascii="Helvetica-Bold" w:hAnsi="Helvetica-Bold" w:eastAsia="Helvetica-Bold" w:cs="Helvetica-Bold"/>
          <w:b/>
          <w:bCs/>
          <w:color w:val="1565C0"/>
          <w:kern w:val="0"/>
          <w:sz w:val="22"/>
          <w:szCs w:val="22"/>
          <w:lang w:val="en-US" w:eastAsia="zh-CN" w:bidi="ar"/>
        </w:rPr>
      </w:pPr>
    </w:p>
    <w:p w14:paraId="2B8859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eastAsia="Helvetica-Bold" w:cs="Times New Roman"/>
          <w:b/>
          <w:bCs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.3 Private vs. Publ</w:t>
      </w: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 xml:space="preserve">ic IP Addresses </w:t>
      </w:r>
    </w:p>
    <w:p w14:paraId="7DE6A5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RFC 1918 reserves three ranges exclusively for private (internal) use, which are not routed on the public Internet. </w:t>
      </w:r>
    </w:p>
    <w:p w14:paraId="6DFE8C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The university network uses </w:t>
      </w: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>192.168.0.0/22</w:t>
      </w: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>, which falls in the Class C private range</w:t>
      </w:r>
    </w:p>
    <w:p w14:paraId="32AD4A4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1260475"/>
            <wp:effectExtent l="0" t="0" r="762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0F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09102A9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5EB1D2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TimesNewRomanPS-BoldMT" w:cs="Times New Roman"/>
          <w:b/>
          <w:bCs/>
          <w:color w:val="4874CB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Phase 2: Subnetting Basics</w:t>
      </w:r>
    </w:p>
    <w:p w14:paraId="6DA61A3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Number of subnets   </w:t>
      </w:r>
      <w:r>
        <w:rPr>
          <w:rFonts w:hint="default" w:ascii="Helvetica" w:hAnsi="Helvetica" w:eastAsia="Helvetica" w:cs="Helvetica"/>
          <w:color w:val="000000"/>
          <w:kern w:val="0"/>
          <w:sz w:val="18"/>
          <w:szCs w:val="18"/>
          <w:lang w:val="en-US" w:eastAsia="zh-CN" w:bidi="ar"/>
        </w:rPr>
        <w:t xml:space="preserve">     </w:t>
      </w: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2^n </w:t>
      </w:r>
    </w:p>
    <w:p w14:paraId="0E6926A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Hosts per subnets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2^h - 2</w:t>
      </w:r>
    </w:p>
    <w:p w14:paraId="43268E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Network address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Bitwise AND of IP address with subnet mask</w:t>
      </w:r>
    </w:p>
    <w:p w14:paraId="531BFD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  <w:t xml:space="preserve">Broadcast address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Network address OR (inverse of subnet mask</w:t>
      </w:r>
    </w:p>
    <w:p w14:paraId="6F60005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EB8337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D780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 xml:space="preserve">2.3 Worked Example: /24 Subnet </w:t>
      </w:r>
    </w:p>
    <w:p w14:paraId="356C70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To illustrate the calculation process for the Computer Science department (assigned 192.168.0.0/24): </w:t>
      </w:r>
    </w:p>
    <w:p w14:paraId="1DF4F0D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IP block: 192.168.0.0 </w:t>
      </w:r>
    </w:p>
    <w:p w14:paraId="1C0C59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Prefix: /24 </w:t>
      </w:r>
    </w:p>
    <w:p w14:paraId="6461BFC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Host bits: 32 - 24 = 8 </w:t>
      </w:r>
    </w:p>
    <w:p w14:paraId="2E8BF6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Total addresses: 2^8 = 256 </w:t>
      </w:r>
    </w:p>
    <w:p w14:paraId="266C73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Usable hosts: 2^8 - 2 = 254 </w:t>
      </w:r>
    </w:p>
    <w:p w14:paraId="21C585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Network address: 192.168.0.0 </w:t>
      </w:r>
    </w:p>
    <w:p w14:paraId="184D1E9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Broadcast address: 192.168.0.255 </w:t>
      </w:r>
    </w:p>
    <w:p w14:paraId="7E8500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First usable host: 192.168.0.1 </w:t>
      </w:r>
    </w:p>
    <w:p w14:paraId="4A61F96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Last usable host: 192.168.0.254 </w:t>
      </w:r>
    </w:p>
    <w:p w14:paraId="6A1031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A1F44"/>
          <w:kern w:val="0"/>
          <w:sz w:val="24"/>
          <w:szCs w:val="24"/>
          <w:lang w:val="en-US" w:eastAsia="zh-CN" w:bidi="ar"/>
        </w:rPr>
        <w:t xml:space="preserve">Subnet mask: 255.255.255.0 </w:t>
      </w:r>
    </w:p>
    <w:p w14:paraId="5E18439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35342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-Bold" w:cs="Times New Roman"/>
          <w:b/>
          <w:bCs/>
          <w:color w:val="2E54A1" w:themeColor="accent1" w:themeShade="BF"/>
          <w:kern w:val="0"/>
          <w:sz w:val="24"/>
          <w:szCs w:val="24"/>
          <w:lang w:val="en-US" w:eastAsia="zh-CN" w:bidi="ar"/>
        </w:rPr>
      </w:pPr>
    </w:p>
    <w:p w14:paraId="40409C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-Bold" w:cs="Times New Roman"/>
          <w:b/>
          <w:bCs/>
          <w:color w:val="2E54A1" w:themeColor="accent1" w:themeShade="BF"/>
          <w:kern w:val="0"/>
          <w:sz w:val="24"/>
          <w:szCs w:val="24"/>
          <w:lang w:val="en-US" w:eastAsia="zh-CN" w:bidi="ar"/>
        </w:rPr>
      </w:pPr>
    </w:p>
    <w:p w14:paraId="7B8B721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-Bold" w:cs="Times New Roman"/>
          <w:b/>
          <w:bCs/>
          <w:color w:val="2E54A1" w:themeColor="accent1" w:themeShade="BF"/>
          <w:kern w:val="0"/>
          <w:sz w:val="24"/>
          <w:szCs w:val="24"/>
          <w:lang w:val="en-US" w:eastAsia="zh-CN" w:bidi="ar"/>
        </w:rPr>
      </w:pPr>
    </w:p>
    <w:p w14:paraId="35EF85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-Bold" w:cs="Times New Roman"/>
          <w:b/>
          <w:bCs/>
          <w:color w:val="2E54A1" w:themeColor="accent1" w:themeShade="BF"/>
          <w:kern w:val="0"/>
          <w:sz w:val="24"/>
          <w:szCs w:val="24"/>
          <w:lang w:val="en-US" w:eastAsia="zh-CN" w:bidi="ar"/>
        </w:rPr>
      </w:pPr>
    </w:p>
    <w:p w14:paraId="5DAA7B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2E54A1" w:themeColor="accent1" w:themeShade="BF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2E54A1" w:themeColor="accent1" w:themeShade="BF"/>
          <w:kern w:val="0"/>
          <w:sz w:val="24"/>
          <w:szCs w:val="24"/>
          <w:lang w:val="en-US" w:eastAsia="zh-CN" w:bidi="ar"/>
        </w:rPr>
        <w:t xml:space="preserve">3. VLSM Implementation — Department Subnets </w:t>
      </w:r>
    </w:p>
    <w:p w14:paraId="52A92E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Variable Length Subnet Masking (VLSM) allows each department to receive a subnet tailored exactly to its needs. </w:t>
      </w:r>
    </w:p>
    <w:p w14:paraId="1ACB104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Subnets are allocated in </w:t>
      </w: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>decreasing order of size</w:t>
      </w: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 to prevent fragmentation of the address space.</w:t>
      </w:r>
    </w:p>
    <w:p w14:paraId="27D47CF2">
      <w:pPr>
        <w:keepNext w:val="0"/>
        <w:keepLines w:val="0"/>
        <w:widowControl/>
        <w:suppressLineNumbers w:val="0"/>
        <w:ind w:firstLine="120" w:firstLineChars="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Large</w:t>
      </w:r>
      <w:r>
        <w:rPr>
          <w:rFonts w:hint="default" w:ascii="Times New Roman" w:hAnsi="Times New Roman" w:cs="Times New Roman"/>
          <w:sz w:val="24"/>
          <w:szCs w:val="24"/>
        </w:rPr>
        <w:t xml:space="preserve"> (Up to 250 devices): Computer Science (CS), Hostel</w:t>
      </w:r>
    </w:p>
    <w:p w14:paraId="569127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Medium</w:t>
      </w:r>
      <w:r>
        <w:rPr>
          <w:rFonts w:hint="default" w:ascii="Times New Roman" w:hAnsi="Times New Roman" w:cs="Times New Roman"/>
          <w:sz w:val="24"/>
          <w:szCs w:val="24"/>
        </w:rPr>
        <w:t xml:space="preserve"> (Up to 120 devices): Software Engineering (SE), Informatics Systems (INFS), Library</w:t>
      </w:r>
    </w:p>
    <w:p w14:paraId="491BCF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Small</w:t>
      </w:r>
      <w:r>
        <w:rPr>
          <w:rFonts w:hint="default" w:ascii="Times New Roman" w:hAnsi="Times New Roman" w:cs="Times New Roman"/>
          <w:sz w:val="24"/>
          <w:szCs w:val="24"/>
        </w:rPr>
        <w:t xml:space="preserve"> (Up to 60 devices): Civil Engineering, Faculty Block, Admin Office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440"/>
        <w:gridCol w:w="1865"/>
        <w:gridCol w:w="1547"/>
        <w:gridCol w:w="1478"/>
        <w:gridCol w:w="691"/>
      </w:tblGrid>
      <w:tr w14:paraId="0A4E3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DCD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Department </w:t>
            </w:r>
          </w:p>
        </w:tc>
        <w:tc>
          <w:tcPr>
            <w:tcW w:w="0" w:type="auto"/>
            <w:shd w:val="clear"/>
            <w:vAlign w:val="center"/>
          </w:tcPr>
          <w:p w14:paraId="314045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Subnet ID</w:t>
            </w:r>
          </w:p>
        </w:tc>
        <w:tc>
          <w:tcPr>
            <w:tcW w:w="0" w:type="auto"/>
            <w:shd w:val="clear"/>
            <w:vAlign w:val="center"/>
          </w:tcPr>
          <w:p w14:paraId="279E07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Subnet Mask</w:t>
            </w:r>
          </w:p>
        </w:tc>
        <w:tc>
          <w:tcPr>
            <w:tcW w:w="0" w:type="auto"/>
            <w:shd w:val="clear"/>
            <w:vAlign w:val="center"/>
          </w:tcPr>
          <w:p w14:paraId="35B167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Usable IP Address Range</w:t>
            </w:r>
          </w:p>
        </w:tc>
        <w:tc>
          <w:tcPr>
            <w:tcW w:w="0" w:type="auto"/>
            <w:shd w:val="clear"/>
            <w:vAlign w:val="center"/>
          </w:tcPr>
          <w:p w14:paraId="71DCB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Broadcast Address</w:t>
            </w:r>
          </w:p>
        </w:tc>
        <w:tc>
          <w:tcPr>
            <w:tcW w:w="0" w:type="auto"/>
            <w:shd w:val="clear"/>
            <w:vAlign w:val="center"/>
          </w:tcPr>
          <w:p w14:paraId="3C165C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 Hosts</w:t>
            </w:r>
          </w:p>
        </w:tc>
      </w:tr>
      <w:tr w14:paraId="6BDF4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517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</w:t>
            </w:r>
          </w:p>
        </w:tc>
        <w:tc>
          <w:tcPr>
            <w:tcW w:w="0" w:type="auto"/>
            <w:shd w:val="clear"/>
            <w:vAlign w:val="center"/>
          </w:tcPr>
          <w:p w14:paraId="4BE19D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192.168.0.0</w:t>
            </w:r>
          </w:p>
        </w:tc>
        <w:tc>
          <w:tcPr>
            <w:tcW w:w="0" w:type="auto"/>
            <w:shd w:val="clear"/>
            <w:vAlign w:val="center"/>
          </w:tcPr>
          <w:p w14:paraId="32DD1F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/24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(255.255.255.0)</w:t>
            </w:r>
          </w:p>
        </w:tc>
        <w:tc>
          <w:tcPr>
            <w:tcW w:w="0" w:type="auto"/>
            <w:shd w:val="clear"/>
            <w:vAlign w:val="center"/>
          </w:tcPr>
          <w:p w14:paraId="0EC001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192.168.0.1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192.168.0.254</w:t>
            </w:r>
          </w:p>
        </w:tc>
        <w:tc>
          <w:tcPr>
            <w:tcW w:w="0" w:type="auto"/>
            <w:shd w:val="clear"/>
            <w:vAlign w:val="center"/>
          </w:tcPr>
          <w:p w14:paraId="3483D3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192.168.0.255</w:t>
            </w:r>
          </w:p>
        </w:tc>
        <w:tc>
          <w:tcPr>
            <w:tcW w:w="0" w:type="auto"/>
            <w:shd w:val="clear"/>
            <w:vAlign w:val="center"/>
          </w:tcPr>
          <w:p w14:paraId="0D33C3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</w:tr>
      <w:tr w14:paraId="20386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CEE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Hostel</w:t>
            </w:r>
          </w:p>
        </w:tc>
        <w:tc>
          <w:tcPr>
            <w:tcW w:w="0" w:type="auto"/>
            <w:shd w:val="clear"/>
            <w:vAlign w:val="center"/>
          </w:tcPr>
          <w:p w14:paraId="551857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192.168.1.0</w:t>
            </w:r>
          </w:p>
        </w:tc>
        <w:tc>
          <w:tcPr>
            <w:tcW w:w="0" w:type="auto"/>
            <w:shd w:val="clear"/>
            <w:vAlign w:val="center"/>
          </w:tcPr>
          <w:p w14:paraId="5CD40F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/24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(255.255.255.0)</w:t>
            </w:r>
          </w:p>
        </w:tc>
        <w:tc>
          <w:tcPr>
            <w:tcW w:w="0" w:type="auto"/>
            <w:shd w:val="clear"/>
            <w:vAlign w:val="center"/>
          </w:tcPr>
          <w:p w14:paraId="13D9B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192.168.1.254</w:t>
            </w:r>
          </w:p>
        </w:tc>
        <w:tc>
          <w:tcPr>
            <w:tcW w:w="0" w:type="auto"/>
            <w:shd w:val="clear"/>
            <w:vAlign w:val="center"/>
          </w:tcPr>
          <w:p w14:paraId="77659A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192.168.1.255</w:t>
            </w:r>
          </w:p>
        </w:tc>
        <w:tc>
          <w:tcPr>
            <w:tcW w:w="0" w:type="auto"/>
            <w:shd w:val="clear"/>
            <w:vAlign w:val="center"/>
          </w:tcPr>
          <w:p w14:paraId="274472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</w:tr>
      <w:tr w14:paraId="46F46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713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</w:t>
            </w:r>
          </w:p>
        </w:tc>
        <w:tc>
          <w:tcPr>
            <w:tcW w:w="0" w:type="auto"/>
            <w:shd w:val="clear"/>
            <w:vAlign w:val="center"/>
          </w:tcPr>
          <w:p w14:paraId="33424D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192.168.2.0</w:t>
            </w:r>
          </w:p>
        </w:tc>
        <w:tc>
          <w:tcPr>
            <w:tcW w:w="0" w:type="auto"/>
            <w:shd w:val="clear"/>
            <w:vAlign w:val="center"/>
          </w:tcPr>
          <w:p w14:paraId="7A3001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(255.255.255.128)</w:t>
            </w:r>
          </w:p>
        </w:tc>
        <w:tc>
          <w:tcPr>
            <w:tcW w:w="0" w:type="auto"/>
            <w:shd w:val="clear"/>
            <w:vAlign w:val="center"/>
          </w:tcPr>
          <w:p w14:paraId="10147B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192.168.2.126</w:t>
            </w:r>
          </w:p>
        </w:tc>
        <w:tc>
          <w:tcPr>
            <w:tcW w:w="0" w:type="auto"/>
            <w:shd w:val="clear"/>
            <w:vAlign w:val="center"/>
          </w:tcPr>
          <w:p w14:paraId="2D2B9C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192.168.2.127</w:t>
            </w:r>
          </w:p>
        </w:tc>
        <w:tc>
          <w:tcPr>
            <w:tcW w:w="0" w:type="auto"/>
            <w:shd w:val="clear"/>
            <w:vAlign w:val="center"/>
          </w:tcPr>
          <w:p w14:paraId="6BFB7E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126</w:t>
            </w:r>
          </w:p>
        </w:tc>
      </w:tr>
      <w:tr w14:paraId="35812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293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INFS</w:t>
            </w:r>
          </w:p>
        </w:tc>
        <w:tc>
          <w:tcPr>
            <w:tcW w:w="0" w:type="auto"/>
            <w:shd w:val="clear"/>
            <w:vAlign w:val="center"/>
          </w:tcPr>
          <w:p w14:paraId="5019A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192.168.2.128</w:t>
            </w:r>
          </w:p>
        </w:tc>
        <w:tc>
          <w:tcPr>
            <w:tcW w:w="0" w:type="auto"/>
            <w:shd w:val="clear"/>
            <w:vAlign w:val="center"/>
          </w:tcPr>
          <w:p w14:paraId="49417F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(255.255.255.128)</w:t>
            </w:r>
          </w:p>
        </w:tc>
        <w:tc>
          <w:tcPr>
            <w:tcW w:w="0" w:type="auto"/>
            <w:shd w:val="clear"/>
            <w:vAlign w:val="center"/>
          </w:tcPr>
          <w:p w14:paraId="550875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192.168.2.129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192.168.2.254</w:t>
            </w:r>
          </w:p>
        </w:tc>
        <w:tc>
          <w:tcPr>
            <w:tcW w:w="0" w:type="auto"/>
            <w:shd w:val="clear"/>
            <w:vAlign w:val="center"/>
          </w:tcPr>
          <w:p w14:paraId="6809D6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192.168.2.255</w:t>
            </w:r>
          </w:p>
        </w:tc>
        <w:tc>
          <w:tcPr>
            <w:tcW w:w="0" w:type="auto"/>
            <w:shd w:val="clear"/>
            <w:vAlign w:val="center"/>
          </w:tcPr>
          <w:p w14:paraId="11E029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126</w:t>
            </w:r>
          </w:p>
        </w:tc>
      </w:tr>
      <w:tr w14:paraId="5066C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630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Library</w:t>
            </w:r>
          </w:p>
        </w:tc>
        <w:tc>
          <w:tcPr>
            <w:tcW w:w="0" w:type="auto"/>
            <w:shd w:val="clear"/>
            <w:vAlign w:val="center"/>
          </w:tcPr>
          <w:p w14:paraId="2ABECB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192.168.3.0</w:t>
            </w:r>
          </w:p>
        </w:tc>
        <w:tc>
          <w:tcPr>
            <w:tcW w:w="0" w:type="auto"/>
            <w:shd w:val="clear"/>
            <w:vAlign w:val="center"/>
          </w:tcPr>
          <w:p w14:paraId="5D52E2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(255.255.255.128)</w:t>
            </w:r>
          </w:p>
        </w:tc>
        <w:tc>
          <w:tcPr>
            <w:tcW w:w="0" w:type="auto"/>
            <w:shd w:val="clear"/>
            <w:vAlign w:val="center"/>
          </w:tcPr>
          <w:p w14:paraId="22CAF7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192.168.3.126</w:t>
            </w:r>
          </w:p>
        </w:tc>
        <w:tc>
          <w:tcPr>
            <w:tcW w:w="0" w:type="auto"/>
            <w:shd w:val="clear"/>
            <w:vAlign w:val="center"/>
          </w:tcPr>
          <w:p w14:paraId="06876B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192.168.3.127</w:t>
            </w:r>
          </w:p>
        </w:tc>
        <w:tc>
          <w:tcPr>
            <w:tcW w:w="0" w:type="auto"/>
            <w:shd w:val="clear"/>
            <w:vAlign w:val="center"/>
          </w:tcPr>
          <w:p w14:paraId="285D4D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126</w:t>
            </w:r>
          </w:p>
        </w:tc>
      </w:tr>
      <w:tr w14:paraId="66E5E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42F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Civil Eng.</w:t>
            </w:r>
          </w:p>
        </w:tc>
        <w:tc>
          <w:tcPr>
            <w:tcW w:w="0" w:type="auto"/>
            <w:shd w:val="clear"/>
            <w:vAlign w:val="center"/>
          </w:tcPr>
          <w:p w14:paraId="79DEA4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192.168.3.128</w:t>
            </w:r>
          </w:p>
        </w:tc>
        <w:tc>
          <w:tcPr>
            <w:tcW w:w="0" w:type="auto"/>
            <w:shd w:val="clear"/>
            <w:vAlign w:val="center"/>
          </w:tcPr>
          <w:p w14:paraId="652960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(255.255.255.192)</w:t>
            </w:r>
          </w:p>
        </w:tc>
        <w:tc>
          <w:tcPr>
            <w:tcW w:w="0" w:type="auto"/>
            <w:shd w:val="clear"/>
            <w:vAlign w:val="center"/>
          </w:tcPr>
          <w:p w14:paraId="1DFB2B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192.168.3.129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192.168.3.190</w:t>
            </w:r>
          </w:p>
        </w:tc>
        <w:tc>
          <w:tcPr>
            <w:tcW w:w="0" w:type="auto"/>
            <w:shd w:val="clear"/>
            <w:vAlign w:val="center"/>
          </w:tcPr>
          <w:p w14:paraId="1C6A82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192.168.3.191</w:t>
            </w:r>
          </w:p>
        </w:tc>
        <w:tc>
          <w:tcPr>
            <w:tcW w:w="0" w:type="auto"/>
            <w:shd w:val="clear"/>
            <w:vAlign w:val="center"/>
          </w:tcPr>
          <w:p w14:paraId="5E6B42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</w:tr>
      <w:tr w14:paraId="0A98F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AE0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Faculty</w:t>
            </w:r>
          </w:p>
        </w:tc>
        <w:tc>
          <w:tcPr>
            <w:tcW w:w="0" w:type="auto"/>
            <w:shd w:val="clear"/>
            <w:vAlign w:val="center"/>
          </w:tcPr>
          <w:p w14:paraId="6BAD81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192.168.3.192</w:t>
            </w:r>
          </w:p>
        </w:tc>
        <w:tc>
          <w:tcPr>
            <w:tcW w:w="0" w:type="auto"/>
            <w:shd w:val="clear"/>
            <w:vAlign w:val="center"/>
          </w:tcPr>
          <w:p w14:paraId="1FB01D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(255.255.255.192)</w:t>
            </w:r>
          </w:p>
        </w:tc>
        <w:tc>
          <w:tcPr>
            <w:tcW w:w="0" w:type="auto"/>
            <w:shd w:val="clear"/>
            <w:vAlign w:val="center"/>
          </w:tcPr>
          <w:p w14:paraId="669B57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192.168.3.193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192.168.3.254</w:t>
            </w:r>
          </w:p>
        </w:tc>
        <w:tc>
          <w:tcPr>
            <w:tcW w:w="0" w:type="auto"/>
            <w:shd w:val="clear"/>
            <w:vAlign w:val="center"/>
          </w:tcPr>
          <w:p w14:paraId="24C445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192.168.3.255</w:t>
            </w:r>
          </w:p>
        </w:tc>
        <w:tc>
          <w:tcPr>
            <w:tcW w:w="0" w:type="auto"/>
            <w:shd w:val="clear"/>
            <w:vAlign w:val="center"/>
          </w:tcPr>
          <w:p w14:paraId="4EA7AD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</w:tr>
      <w:tr w14:paraId="72982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A40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355CD9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192.168.4.0</w:t>
            </w:r>
          </w:p>
        </w:tc>
        <w:tc>
          <w:tcPr>
            <w:tcW w:w="0" w:type="auto"/>
            <w:shd w:val="clear"/>
            <w:vAlign w:val="center"/>
          </w:tcPr>
          <w:p w14:paraId="6AD717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/27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(255.255.255.224)</w:t>
            </w:r>
          </w:p>
        </w:tc>
        <w:tc>
          <w:tcPr>
            <w:tcW w:w="0" w:type="auto"/>
            <w:shd w:val="clear"/>
            <w:vAlign w:val="center"/>
          </w:tcPr>
          <w:p w14:paraId="1A61A2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192.168.4.1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192.168.4.30</w:t>
            </w:r>
          </w:p>
        </w:tc>
        <w:tc>
          <w:tcPr>
            <w:tcW w:w="0" w:type="auto"/>
            <w:shd w:val="clear"/>
            <w:vAlign w:val="center"/>
          </w:tcPr>
          <w:p w14:paraId="1BC01D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192.168.4.31</w:t>
            </w:r>
          </w:p>
        </w:tc>
        <w:tc>
          <w:tcPr>
            <w:tcW w:w="0" w:type="auto"/>
            <w:shd w:val="clear"/>
            <w:vAlign w:val="center"/>
          </w:tcPr>
          <w:p w14:paraId="363CE39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30C17A6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5FCBBE4">
      <w:pPr>
        <w:jc w:val="both"/>
        <w:rPr>
          <w:rFonts w:hint="default" w:ascii="Times New Roman" w:hAnsi="Times New Roman" w:cs="Times New Roman"/>
          <w:color w:val="1E386B" w:themeColor="accent1" w:themeShade="80"/>
          <w:sz w:val="24"/>
          <w:szCs w:val="24"/>
        </w:rPr>
      </w:pPr>
    </w:p>
    <w:p w14:paraId="0D665922">
      <w:pPr>
        <w:jc w:val="both"/>
        <w:rPr>
          <w:rFonts w:hint="default" w:ascii="Times New Roman" w:hAnsi="Times New Roman" w:cs="Times New Roman"/>
          <w:color w:val="1E386B" w:themeColor="accent1" w:themeShade="80"/>
          <w:sz w:val="24"/>
          <w:szCs w:val="24"/>
        </w:rPr>
      </w:pPr>
    </w:p>
    <w:p w14:paraId="69AC013E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cs="Times New Roman"/>
          <w:b/>
          <w:bCs/>
          <w:color w:val="2E54A1" w:themeColor="accent1" w:themeShade="B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2E54A1" w:themeColor="accent1" w:themeShade="BF"/>
          <w:kern w:val="0"/>
          <w:sz w:val="24"/>
          <w:szCs w:val="24"/>
          <w:lang w:val="en-US" w:eastAsia="zh-CN" w:bidi="ar"/>
        </w:rPr>
        <w:t>Subnetting Strategy &amp; Justification</w:t>
      </w:r>
    </w:p>
    <w:p w14:paraId="2E48EF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IP Conservation: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 standard</w:t>
      </w:r>
      <w:r>
        <w:rPr>
          <w:rFonts w:hint="default" w:ascii="Times New Roman" w:hAnsi="Times New Roman" w:cs="Times New Roman"/>
          <w:sz w:val="24"/>
          <w:szCs w:val="24"/>
        </w:rPr>
        <w:t xml:space="preserve"> Class C network (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/24</w:t>
      </w:r>
      <w:r>
        <w:rPr>
          <w:rFonts w:hint="default" w:ascii="Times New Roman" w:hAnsi="Times New Roman" w:cs="Times New Roman"/>
          <w:sz w:val="24"/>
          <w:szCs w:val="24"/>
        </w:rPr>
        <w:t xml:space="preserve">) for every department would waste hundreds of unused addresses. VLSM allows the allocation of smaller masks (like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/26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/27</w:t>
      </w:r>
      <w:r>
        <w:rPr>
          <w:rFonts w:hint="default" w:ascii="Times New Roman" w:hAnsi="Times New Roman" w:cs="Times New Roman"/>
          <w:sz w:val="24"/>
          <w:szCs w:val="24"/>
        </w:rPr>
        <w:t>) tailored exactly to smaller departments like the Admin Office.</w:t>
      </w:r>
    </w:p>
    <w:p w14:paraId="1E7534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Scalability: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The address block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192.168.4.32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192.168.4.255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unassigned, creating a pool of available IP addresses. This reserved space is perfect for accommodating future university growth, new buildings, or point-to-point router links.</w:t>
      </w:r>
    </w:p>
    <w:p w14:paraId="7B3E15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Broadcast Isolation: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Segmenting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/22</w:t>
      </w:r>
      <w:r>
        <w:rPr>
          <w:rFonts w:hint="default" w:ascii="Times New Roman" w:hAnsi="Times New Roman" w:cs="Times New Roman"/>
          <w:sz w:val="24"/>
          <w:szCs w:val="24"/>
        </w:rPr>
        <w:t xml:space="preserve"> block into smaller CIDR blocks minimizes unnecessary broadcast traffic, boosting the overall speed and security of the university network.</w:t>
      </w:r>
    </w:p>
    <w:p w14:paraId="741EE90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0A1F44"/>
          <w:kern w:val="0"/>
          <w:sz w:val="24"/>
          <w:szCs w:val="24"/>
          <w:lang w:val="en-US" w:eastAsia="zh-CN" w:bidi="ar"/>
        </w:rPr>
        <w:t>5. Planning for Growth &amp; Scalability</w:t>
      </w:r>
    </w:p>
    <w:p w14:paraId="099369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>5.1 Reserved Address Block</w:t>
      </w:r>
    </w:p>
    <w:p w14:paraId="0460FB9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>Reserved Block:</w:t>
      </w: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 192.168.3.80 – 192.168.3.255 (176 addresses = 17.2% of total space) </w:t>
      </w:r>
    </w:p>
    <w:p w14:paraId="69425E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This contiguous block can accommodate two new /27 subnets (30 hosts each), four /28 subnets (14 hosts </w:t>
      </w:r>
    </w:p>
    <w:p w14:paraId="6317AE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>each), or one /25 subnet (126 hosts) for a future department.</w:t>
      </w:r>
    </w:p>
    <w:p w14:paraId="6BE4A5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</w:pPr>
    </w:p>
    <w:p w14:paraId="0C13FDC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 xml:space="preserve">5.2 Growth Strategies </w:t>
      </w:r>
    </w:p>
    <w:p w14:paraId="43D1EA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 xml:space="preserve">Strategy 1 — Staged Subnet Release: </w:t>
      </w:r>
    </w:p>
    <w:p w14:paraId="19F44D9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Allocate subnets from the reserved block only when a department formally requests additional capacity. This </w:t>
      </w:r>
    </w:p>
    <w:p w14:paraId="0EBA7A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avoids premature commitment of address space. </w:t>
      </w:r>
    </w:p>
    <w:p w14:paraId="3F33B50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 xml:space="preserve">Strategy 2 — Supernetting / Route Aggregation: </w:t>
      </w:r>
    </w:p>
    <w:p w14:paraId="25D92DB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If the /22 block is exhausted, request an additional contiguous block (e.g., 192.168.4.0/22) from the ISP and </w:t>
      </w:r>
    </w:p>
    <w:p w14:paraId="1C6269E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aggregate both into a /21 for routing efficiency. </w:t>
      </w:r>
    </w:p>
    <w:p w14:paraId="32C03FF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 xml:space="preserve">Strategy 3 — DHCP Dynamic Allocation: </w:t>
      </w:r>
    </w:p>
    <w:p w14:paraId="00DE03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Use DHCP servers with short lease times in high-turnover subnets (Hostel, Library) to maximize host-address </w:t>
      </w:r>
    </w:p>
    <w:p w14:paraId="30EDFC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reuse within existing subnets. </w:t>
      </w:r>
    </w:p>
    <w:p w14:paraId="46A9D26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 xml:space="preserve">Strategy 4 — IPv6 Dual-Stack Transition: </w:t>
      </w:r>
    </w:p>
    <w:p w14:paraId="065A85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Plan for IPv6 adoption by assigning /64 IPv6 prefixes to each department in parallel, eliminating IPv4 address </w:t>
      </w:r>
    </w:p>
    <w:p w14:paraId="6B594E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exhaustion concerns long-term. </w:t>
      </w:r>
    </w:p>
    <w:p w14:paraId="20DCC53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37474F"/>
          <w:kern w:val="0"/>
          <w:sz w:val="24"/>
          <w:szCs w:val="24"/>
          <w:lang w:val="en-US" w:eastAsia="zh-CN" w:bidi="ar"/>
        </w:rPr>
        <w:t xml:space="preserve">Strategy 5 — VLAN Segmentation: </w:t>
      </w:r>
    </w:p>
    <w:p w14:paraId="0CA0419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Use VLANs to segment traffic within large subnets (CS, Hostel) without consuming extra IP space ,separating </w:t>
      </w:r>
    </w:p>
    <w:p w14:paraId="5D2C309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IoT devices, student laptops, and lab equipment logically. </w:t>
      </w:r>
    </w:p>
    <w:p w14:paraId="21CCEEE4">
      <w:pPr>
        <w:jc w:val="both"/>
        <w:rPr>
          <w:rFonts w:hint="default" w:ascii="Times New Roman" w:hAnsi="Times New Roman" w:cs="Times New Roman"/>
          <w:color w:val="1E386B" w:themeColor="accent1" w:themeShade="80"/>
          <w:sz w:val="24"/>
          <w:szCs w:val="24"/>
        </w:rPr>
      </w:pPr>
    </w:p>
    <w:p w14:paraId="723C37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-Bold" w:cs="Times New Roman"/>
          <w:b/>
          <w:bCs/>
          <w:color w:val="1565C0"/>
          <w:kern w:val="0"/>
          <w:sz w:val="24"/>
          <w:szCs w:val="24"/>
          <w:lang w:val="en-US" w:eastAsia="zh-CN" w:bidi="ar"/>
        </w:rPr>
        <w:t xml:space="preserve">Conclusion: Why VLSM Was Chosen </w:t>
      </w:r>
    </w:p>
    <w:p w14:paraId="21AC119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color w:val="37474F"/>
          <w:kern w:val="0"/>
          <w:sz w:val="24"/>
          <w:szCs w:val="24"/>
          <w:lang w:val="en-US" w:eastAsia="zh-CN" w:bidi="ar"/>
        </w:rPr>
        <w:t xml:space="preserve">With eight departments ranging from 15 to 250 users, a fixed /24 for all would consume 8 × 256 = 2,048 addresses double the available space. VLSM allows all departments to coexist within the 1,024-address /22 block with 176 addresses still available for growth. </w:t>
      </w:r>
    </w:p>
    <w:p w14:paraId="4E4ACC1C">
      <w:pPr>
        <w:jc w:val="both"/>
        <w:rPr>
          <w:rFonts w:hint="default" w:ascii="Times New Roman" w:hAnsi="Times New Roman" w:cs="Times New Roman"/>
          <w:color w:val="1E386B" w:themeColor="accent1" w:themeShade="8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7D297"/>
    <w:multiLevelType w:val="singleLevel"/>
    <w:tmpl w:val="2EF7D297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12F585A"/>
    <w:multiLevelType w:val="multilevel"/>
    <w:tmpl w:val="412F58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41A6D"/>
    <w:rsid w:val="030B388D"/>
    <w:rsid w:val="077F3D5C"/>
    <w:rsid w:val="0CF41A6D"/>
    <w:rsid w:val="0D483858"/>
    <w:rsid w:val="25493139"/>
    <w:rsid w:val="27AF38A8"/>
    <w:rsid w:val="2B4D64F6"/>
    <w:rsid w:val="34041CE3"/>
    <w:rsid w:val="3BA65BED"/>
    <w:rsid w:val="405B10A3"/>
    <w:rsid w:val="4B2D7363"/>
    <w:rsid w:val="4E8E0DB8"/>
    <w:rsid w:val="55172BB6"/>
    <w:rsid w:val="5B93657E"/>
    <w:rsid w:val="5D84417A"/>
    <w:rsid w:val="5EC94811"/>
    <w:rsid w:val="6BEF5524"/>
    <w:rsid w:val="6D224EC6"/>
    <w:rsid w:val="70D941B4"/>
    <w:rsid w:val="7D69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2026-05-22T16:31:00Z</dcterms:created>
  <dc:creator>ZAINAB IMRAN</dc:creator>
  <cp:lastModifiedBy>ZAINAB IMRAN</cp:lastModifiedBy>
  <dcterms:modified xsi:type="dcterms:W3CDTF">2026-05-22T17:48:42Z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783BB80F15DD41FABEC6BBA2384F0542_13</vt:lpwstr>
  </property>
  <property fmtid="{D5CDD505-2E9C-101B-9397-08002B2CF9AE}" pid="4" name="KSOTemplateDocerSaveRecord">
    <vt:lpwstr>eyJoZGlkIjoiM2FhZDA5MWQ3YzAxZGNlYzQ4ZTkwMGZiZDRlOWQzOWMiLCJ1c2VySWQiOiIxOTQyMDQxMjY3Mjg2In0=</vt:lpwstr>
  </property>
</Properties>
</file>