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A5A5A"/>
          <w:sz w:val="20"/>
        </w:rPr>
        <w:t>COMBINED BUSINESS &amp; SOFTWARE REQUIREMENTS</w:t>
      </w:r>
    </w:p>
    <w:p>
      <w:pPr>
        <w:pStyle w:val="Title"/>
        <w:jc w:val="center"/>
      </w:pPr>
      <w:r>
        <w:t>Maharashtra Motor Insurance</w:t>
        <w:br/>
        <w:t>Intelligence Platform</w:t>
      </w:r>
    </w:p>
    <w:p>
      <w:pPr>
        <w:jc w:val="center"/>
      </w:pPr>
      <w:r>
        <w:rPr>
          <w:b/>
          <w:sz w:val="26"/>
        </w:rPr>
        <w:t>E20, EVs and the Insurable Base</w:t>
      </w:r>
    </w:p>
    <w:p>
      <w:pPr>
        <w:jc w:val="center"/>
      </w:pPr>
      <w:r>
        <w:rPr>
          <w:sz w:val="18"/>
        </w:rPr>
        <w:t>Combined Business Requirements Document (BRD) and Software Requirements Specification (SRS)</w:t>
        <w:br/>
        <w:t>Version 1.0 | October 2026</w:t>
      </w:r>
    </w:p>
    <w:p>
      <w:pPr>
        <w:pStyle w:val="Heading1"/>
      </w:pPr>
      <w:r>
        <w:t>Document purpose</w:t>
      </w:r>
    </w:p>
    <w:p>
      <w:r>
        <w:t>This document combines the business rationale, expected value, scope, stakeholders and success criteria (BRD) with the system capabilities, data rules, quality requirements and acceptance criteria (SRS). It describes the intended product, while distinguishing the current project stage from planned functionality.</w:t>
      </w:r>
    </w:p>
    <w:p>
      <w:pPr>
        <w:pStyle w:val="Heading1"/>
      </w:pPr>
      <w:r>
        <w:t>1. Executive Summary</w:t>
      </w:r>
    </w:p>
    <w:p>
      <w:r>
        <w:t>The proposed platform analyses Maharashtra motor-vehicle registrations, changes in reported fuel categories (including E20-labelled petrol and electric vehicles), available insurance Gross Direct Premium Income (GDPI), and registration forecasts. It extends this market intelligence into scenario-based actuarial and go-to-market (GTM) decision support. The objective is to help users assess market evolution, potential insurable-base opportunities, underwriting sensitivity, and commercial priorities—without presenting assumptions as observed insurance outcomes.</w:t>
      </w:r>
    </w:p>
    <w:p>
      <w:pPr>
        <w:pStyle w:val="Heading1"/>
      </w:pPr>
      <w:r>
        <w:t>2. Business Requirements Document (BRD)</w:t>
      </w:r>
    </w:p>
    <w:p>
      <w:pPr>
        <w:pStyle w:val="Heading2"/>
      </w:pPr>
      <w:r>
        <w:t>2.1 Business problem</w:t>
      </w:r>
    </w:p>
    <w:p>
      <w:r>
        <w:t>Vehicle registrations and fuel-category composition are changing, but registration statistics and premium totals alone do not reveal insured exposure, claims experience, or the profitability of growth opportunities. The project needs a unified analytical view that combines market trends with transparent actuarial and GTM scenarios, while making data gaps and assumptions explicit.</w:t>
      </w:r>
    </w:p>
    <w:p>
      <w:pPr>
        <w:pStyle w:val="Heading2"/>
      </w:pPr>
      <w:r>
        <w:t>2.2 Business objectives</w:t>
      </w:r>
    </w:p>
    <w:p>
      <w:pPr>
        <w:pStyle w:val="ListBullet"/>
      </w:pPr>
      <w:r>
        <w:t>Describe Maharashtra registration trends and the changing fuel mix, including E20-labelled vehicles and EVs.</w:t>
      </w:r>
    </w:p>
    <w:p>
      <w:pPr>
        <w:pStyle w:val="ListBullet"/>
      </w:pPr>
      <w:r>
        <w:t>Provide a defensible view of available motor-insurance premium context using OD and TP distinctions.</w:t>
      </w:r>
    </w:p>
    <w:p>
      <w:pPr>
        <w:pStyle w:val="ListBullet"/>
      </w:pPr>
      <w:r>
        <w:t>Compare registration forecasting approaches using chronological validation.</w:t>
      </w:r>
    </w:p>
    <w:p>
      <w:pPr>
        <w:pStyle w:val="ListBullet"/>
      </w:pPr>
      <w:r>
        <w:t>Estimate potential underwriting and commercial outcomes through transparent, configurable scenarios.</w:t>
      </w:r>
    </w:p>
    <w:p>
      <w:pPr>
        <w:pStyle w:val="ListBullet"/>
      </w:pPr>
      <w:r>
        <w:t>Prioritize potential GTM opportunities such as retention, uninsured-vehicle capture, RTO focus and add-on attachment.</w:t>
      </w:r>
    </w:p>
    <w:p>
      <w:pPr>
        <w:pStyle w:val="ListBullet"/>
      </w:pPr>
      <w:r>
        <w:t>Communicate results, assumptions, uncertainty and data limitations through reports and a planned dashboard.</w:t>
      </w:r>
    </w:p>
    <w:p>
      <w:pPr>
        <w:pStyle w:val="Heading2"/>
      </w:pPr>
      <w:r>
        <w:t>2.3 Stakeholders and users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pPr>
              <w:spacing w:after="0" w:line="240" w:lineRule="auto"/>
            </w:pPr>
            <w:r/>
            <w:r>
              <w:rPr>
                <w:rFonts w:ascii="Arial" w:hAnsi="Arial"/>
                <w:b/>
                <w:color w:val="FFFFFF"/>
                <w:sz w:val="15"/>
              </w:rPr>
              <w:t>Stakeholder / user</w:t>
            </w:r>
          </w:p>
        </w:tc>
        <w:tc>
          <w:tcPr>
            <w:tcW w:type="dxa" w:w="6912"/>
            <w:vAlign w:val="center"/>
            <w:shd w:fill="1F4E79"/>
          </w:tcPr>
          <w:p>
            <w:pPr>
              <w:spacing w:after="0" w:line="240" w:lineRule="auto"/>
            </w:pPr>
            <w:r/>
            <w:r>
              <w:rPr>
                <w:rFonts w:ascii="Arial" w:hAnsi="Arial"/>
                <w:b/>
                <w:color w:val="FFFFFF"/>
                <w:sz w:val="15"/>
              </w:rPr>
              <w:t>Need</w:t>
            </w:r>
          </w:p>
        </w:tc>
      </w:tr>
      <w:tr>
        <w:tc>
          <w:tcPr>
            <w:tcW w:type="dxa" w:w="2880"/>
            <w:vAlign w:val="center"/>
          </w:tcPr>
          <w:p>
            <w:pPr>
              <w:spacing w:after="0" w:line="240" w:lineRule="auto"/>
            </w:pPr>
            <w:r/>
            <w:r>
              <w:rPr>
                <w:rFonts w:ascii="Arial" w:hAnsi="Arial"/>
                <w:b/>
                <w:sz w:val="15"/>
              </w:rPr>
              <w:t>Project team / analyst</w:t>
            </w:r>
          </w:p>
        </w:tc>
        <w:tc>
          <w:tcPr>
            <w:tcW w:type="dxa" w:w="6912"/>
            <w:vAlign w:val="center"/>
          </w:tcPr>
          <w:p>
            <w:pPr>
              <w:spacing w:after="0" w:line="240" w:lineRule="auto"/>
            </w:pPr>
            <w:r/>
            <w:r>
              <w:rPr>
                <w:rFonts w:ascii="Arial" w:hAnsi="Arial"/>
                <w:b w:val="0"/>
                <w:sz w:val="15"/>
              </w:rPr>
              <w:t>Clean, traceable datasets; repeatable analysis; model comparison and scenario controls.</w:t>
            </w:r>
          </w:p>
        </w:tc>
      </w:tr>
      <w:tr>
        <w:tc>
          <w:tcPr>
            <w:tcW w:type="dxa" w:w="2880"/>
            <w:vAlign w:val="center"/>
          </w:tcPr>
          <w:p>
            <w:pPr>
              <w:spacing w:after="0" w:line="240" w:lineRule="auto"/>
            </w:pPr>
            <w:r/>
            <w:r>
              <w:rPr>
                <w:rFonts w:ascii="Arial" w:hAnsi="Arial"/>
                <w:b/>
                <w:sz w:val="15"/>
              </w:rPr>
              <w:t>Academic evaluator / reviewer</w:t>
            </w:r>
          </w:p>
        </w:tc>
        <w:tc>
          <w:tcPr>
            <w:tcW w:type="dxa" w:w="6912"/>
            <w:vAlign w:val="center"/>
          </w:tcPr>
          <w:p>
            <w:pPr>
              <w:spacing w:after="0" w:line="240" w:lineRule="auto"/>
            </w:pPr>
            <w:r/>
            <w:r>
              <w:rPr>
                <w:rFonts w:ascii="Arial" w:hAnsi="Arial"/>
                <w:b w:val="0"/>
                <w:sz w:val="15"/>
              </w:rPr>
              <w:t>Clear objectives, methodology, requirements, evidence boundaries and documented limitations.</w:t>
            </w:r>
          </w:p>
        </w:tc>
      </w:tr>
      <w:tr>
        <w:tc>
          <w:tcPr>
            <w:tcW w:type="dxa" w:w="2880"/>
            <w:vAlign w:val="center"/>
          </w:tcPr>
          <w:p>
            <w:pPr>
              <w:spacing w:after="0" w:line="240" w:lineRule="auto"/>
            </w:pPr>
            <w:r/>
            <w:r>
              <w:rPr>
                <w:rFonts w:ascii="Arial" w:hAnsi="Arial"/>
                <w:b/>
                <w:sz w:val="15"/>
              </w:rPr>
              <w:t>Insurance strategy / product user</w:t>
            </w:r>
          </w:p>
        </w:tc>
        <w:tc>
          <w:tcPr>
            <w:tcW w:type="dxa" w:w="6912"/>
            <w:vAlign w:val="center"/>
          </w:tcPr>
          <w:p>
            <w:pPr>
              <w:spacing w:after="0" w:line="240" w:lineRule="auto"/>
            </w:pPr>
            <w:r/>
            <w:r>
              <w:rPr>
                <w:rFonts w:ascii="Arial" w:hAnsi="Arial"/>
                <w:b w:val="0"/>
                <w:sz w:val="15"/>
              </w:rPr>
              <w:t>Market sizing signals, scenario-based profitability, risk sensitivity and GTM prioritization.</w:t>
            </w:r>
          </w:p>
        </w:tc>
      </w:tr>
      <w:tr>
        <w:tc>
          <w:tcPr>
            <w:tcW w:type="dxa" w:w="2880"/>
            <w:vAlign w:val="center"/>
          </w:tcPr>
          <w:p>
            <w:pPr>
              <w:spacing w:after="0" w:line="240" w:lineRule="auto"/>
            </w:pPr>
            <w:r/>
            <w:r>
              <w:rPr>
                <w:rFonts w:ascii="Arial" w:hAnsi="Arial"/>
                <w:b/>
                <w:sz w:val="15"/>
              </w:rPr>
              <w:t>Dashboard consumer</w:t>
            </w:r>
          </w:p>
        </w:tc>
        <w:tc>
          <w:tcPr>
            <w:tcW w:type="dxa" w:w="6912"/>
            <w:vAlign w:val="center"/>
          </w:tcPr>
          <w:p>
            <w:pPr>
              <w:spacing w:after="0" w:line="240" w:lineRule="auto"/>
            </w:pPr>
            <w:r/>
            <w:r>
              <w:rPr>
                <w:rFonts w:ascii="Arial" w:hAnsi="Arial"/>
                <w:b w:val="0"/>
                <w:sz w:val="15"/>
              </w:rPr>
              <w:t>Concise trends, forecasts, assumptions and decision-support outputs.</w:t>
            </w:r>
          </w:p>
        </w:tc>
      </w:tr>
    </w:tbl>
    <w:p>
      <w:pPr>
        <w:spacing w:after="0"/>
      </w:pPr>
    </w:p>
    <w:p>
      <w:pPr>
        <w:pStyle w:val="Heading2"/>
      </w:pPr>
      <w:r>
        <w:t>2.4 Business scope</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1F4E79"/>
          </w:tcPr>
          <w:p>
            <w:pPr>
              <w:spacing w:after="0" w:line="240" w:lineRule="auto"/>
            </w:pPr>
            <w:r/>
            <w:r>
              <w:rPr>
                <w:rFonts w:ascii="Arial" w:hAnsi="Arial"/>
                <w:b/>
                <w:color w:val="FFFFFF"/>
                <w:sz w:val="15"/>
              </w:rPr>
              <w:t>In scope</w:t>
            </w:r>
          </w:p>
        </w:tc>
        <w:tc>
          <w:tcPr>
            <w:tcW w:type="dxa" w:w="4896"/>
            <w:vAlign w:val="center"/>
            <w:shd w:fill="1F4E79"/>
          </w:tcPr>
          <w:p>
            <w:pPr>
              <w:spacing w:after="0" w:line="240" w:lineRule="auto"/>
            </w:pPr>
            <w:r/>
            <w:r>
              <w:rPr>
                <w:rFonts w:ascii="Arial" w:hAnsi="Arial"/>
                <w:b/>
                <w:color w:val="FFFFFF"/>
                <w:sz w:val="15"/>
              </w:rPr>
              <w:t>Out of scope with current data</w:t>
            </w:r>
          </w:p>
        </w:tc>
      </w:tr>
      <w:tr>
        <w:tc>
          <w:tcPr>
            <w:tcW w:type="dxa" w:w="4896"/>
            <w:vAlign w:val="center"/>
          </w:tcPr>
          <w:p>
            <w:pPr>
              <w:spacing w:after="0" w:line="240" w:lineRule="auto"/>
            </w:pPr>
            <w:r/>
            <w:r>
              <w:rPr>
                <w:rFonts w:ascii="Arial" w:hAnsi="Arial"/>
                <w:b/>
                <w:sz w:val="15"/>
              </w:rPr>
              <w:t>Maharashtra registration and fuel-mix trends; EV/E20 label tracking; available GDPI context; registration forecasts; scenario-based actuarial and GTM analysis; dashboard after validation.</w:t>
            </w:r>
          </w:p>
        </w:tc>
        <w:tc>
          <w:tcPr>
            <w:tcW w:type="dxa" w:w="4896"/>
            <w:vAlign w:val="center"/>
          </w:tcPr>
          <w:p>
            <w:pPr>
              <w:spacing w:after="0" w:line="240" w:lineRule="auto"/>
            </w:pPr>
            <w:r/>
            <w:r>
              <w:rPr>
                <w:rFonts w:ascii="Arial" w:hAnsi="Arial"/>
                <w:b w:val="0"/>
                <w:sz w:val="15"/>
              </w:rPr>
              <w:t>Claims-validated actuarial pricing; causal estimates of E20 effects on claims or premiums; observed insurance penetration from GDPI alone; reliable vehicle-class/engine-capacity analysis without those fields; automated underwriting decisions.</w:t>
            </w:r>
          </w:p>
        </w:tc>
      </w:tr>
    </w:tbl>
    <w:p>
      <w:pPr>
        <w:spacing w:after="0"/>
      </w:pPr>
    </w:p>
    <w:p>
      <w:pPr>
        <w:pStyle w:val="Heading2"/>
      </w:pPr>
      <w:r>
        <w:t>2.5 Business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1F4E79"/>
          </w:tcPr>
          <w:p>
            <w:pPr>
              <w:spacing w:after="0" w:line="240" w:lineRule="auto"/>
            </w:pPr>
            <w:r/>
            <w:r>
              <w:rPr>
                <w:rFonts w:ascii="Arial" w:hAnsi="Arial"/>
                <w:b/>
                <w:color w:val="FFFFFF"/>
                <w:sz w:val="14"/>
              </w:rPr>
              <w:t>ID</w:t>
            </w:r>
          </w:p>
        </w:tc>
        <w:tc>
          <w:tcPr>
            <w:tcW w:type="dxa" w:w="2232"/>
            <w:vAlign w:val="center"/>
            <w:shd w:fill="1F4E79"/>
          </w:tcPr>
          <w:p>
            <w:pPr>
              <w:spacing w:after="0" w:line="240" w:lineRule="auto"/>
            </w:pPr>
            <w:r/>
            <w:r>
              <w:rPr>
                <w:rFonts w:ascii="Arial" w:hAnsi="Arial"/>
                <w:b/>
                <w:color w:val="FFFFFF"/>
                <w:sz w:val="14"/>
              </w:rPr>
              <w:t>Requirement</w:t>
            </w:r>
          </w:p>
        </w:tc>
        <w:tc>
          <w:tcPr>
            <w:tcW w:type="dxa" w:w="6624"/>
            <w:vAlign w:val="center"/>
            <w:shd w:fill="1F4E79"/>
          </w:tcPr>
          <w:p>
            <w:pPr>
              <w:spacing w:after="0" w:line="240" w:lineRule="auto"/>
            </w:pPr>
            <w:r/>
            <w:r>
              <w:rPr>
                <w:rFonts w:ascii="Arial" w:hAnsi="Arial"/>
                <w:b/>
                <w:color w:val="FFFFFF"/>
                <w:sz w:val="14"/>
              </w:rPr>
              <w:t>Business need</w:t>
            </w:r>
          </w:p>
        </w:tc>
      </w:tr>
      <w:tr>
        <w:tc>
          <w:tcPr>
            <w:tcW w:type="dxa" w:w="936"/>
            <w:vAlign w:val="center"/>
          </w:tcPr>
          <w:p>
            <w:pPr>
              <w:spacing w:after="0" w:line="240" w:lineRule="auto"/>
            </w:pPr>
            <w:r/>
            <w:r>
              <w:rPr>
                <w:rFonts w:ascii="Arial" w:hAnsi="Arial"/>
                <w:b/>
                <w:sz w:val="14"/>
              </w:rPr>
              <w:t>BR-01</w:t>
            </w:r>
          </w:p>
        </w:tc>
        <w:tc>
          <w:tcPr>
            <w:tcW w:type="dxa" w:w="2232"/>
            <w:vAlign w:val="center"/>
          </w:tcPr>
          <w:p>
            <w:pPr>
              <w:spacing w:after="0" w:line="240" w:lineRule="auto"/>
            </w:pPr>
            <w:r/>
            <w:r>
              <w:rPr>
                <w:rFonts w:ascii="Arial" w:hAnsi="Arial"/>
                <w:b w:val="0"/>
                <w:sz w:val="14"/>
              </w:rPr>
              <w:t>Market visibility</w:t>
            </w:r>
          </w:p>
        </w:tc>
        <w:tc>
          <w:tcPr>
            <w:tcW w:type="dxa" w:w="6624"/>
            <w:vAlign w:val="center"/>
          </w:tcPr>
          <w:p>
            <w:pPr>
              <w:spacing w:after="0" w:line="240" w:lineRule="auto"/>
            </w:pPr>
            <w:r/>
            <w:r>
              <w:rPr>
                <w:rFonts w:ascii="Arial" w:hAnsi="Arial"/>
                <w:b w:val="0"/>
                <w:sz w:val="14"/>
              </w:rPr>
              <w:t>The product shall summarize Maharashtra registrations, growth and fuel-category changes over time.</w:t>
            </w:r>
          </w:p>
        </w:tc>
      </w:tr>
      <w:tr>
        <w:tc>
          <w:tcPr>
            <w:tcW w:type="dxa" w:w="936"/>
            <w:vAlign w:val="center"/>
          </w:tcPr>
          <w:p>
            <w:pPr>
              <w:spacing w:after="0" w:line="240" w:lineRule="auto"/>
            </w:pPr>
            <w:r/>
            <w:r>
              <w:rPr>
                <w:rFonts w:ascii="Arial" w:hAnsi="Arial"/>
                <w:b/>
                <w:sz w:val="14"/>
              </w:rPr>
              <w:t>BR-02</w:t>
            </w:r>
          </w:p>
        </w:tc>
        <w:tc>
          <w:tcPr>
            <w:tcW w:type="dxa" w:w="2232"/>
            <w:vAlign w:val="center"/>
          </w:tcPr>
          <w:p>
            <w:pPr>
              <w:spacing w:after="0" w:line="240" w:lineRule="auto"/>
            </w:pPr>
            <w:r/>
            <w:r>
              <w:rPr>
                <w:rFonts w:ascii="Arial" w:hAnsi="Arial"/>
                <w:b w:val="0"/>
                <w:sz w:val="14"/>
              </w:rPr>
              <w:t>Forecast support</w:t>
            </w:r>
          </w:p>
        </w:tc>
        <w:tc>
          <w:tcPr>
            <w:tcW w:type="dxa" w:w="6624"/>
            <w:vAlign w:val="center"/>
          </w:tcPr>
          <w:p>
            <w:pPr>
              <w:spacing w:after="0" w:line="240" w:lineRule="auto"/>
            </w:pPr>
            <w:r/>
            <w:r>
              <w:rPr>
                <w:rFonts w:ascii="Arial" w:hAnsi="Arial"/>
                <w:b w:val="0"/>
                <w:sz w:val="14"/>
              </w:rPr>
              <w:t>The product shall compare registration forecasts using time-ordered validation and documented error metrics.</w:t>
            </w:r>
          </w:p>
        </w:tc>
      </w:tr>
      <w:tr>
        <w:tc>
          <w:tcPr>
            <w:tcW w:type="dxa" w:w="936"/>
            <w:vAlign w:val="center"/>
          </w:tcPr>
          <w:p>
            <w:pPr>
              <w:spacing w:after="0" w:line="240" w:lineRule="auto"/>
            </w:pPr>
            <w:r/>
            <w:r>
              <w:rPr>
                <w:rFonts w:ascii="Arial" w:hAnsi="Arial"/>
                <w:b/>
                <w:sz w:val="14"/>
              </w:rPr>
              <w:t>BR-03</w:t>
            </w:r>
          </w:p>
        </w:tc>
        <w:tc>
          <w:tcPr>
            <w:tcW w:type="dxa" w:w="2232"/>
            <w:vAlign w:val="center"/>
          </w:tcPr>
          <w:p>
            <w:pPr>
              <w:spacing w:after="0" w:line="240" w:lineRule="auto"/>
            </w:pPr>
            <w:r/>
            <w:r>
              <w:rPr>
                <w:rFonts w:ascii="Arial" w:hAnsi="Arial"/>
                <w:b w:val="0"/>
                <w:sz w:val="14"/>
              </w:rPr>
              <w:t>Insurance context</w:t>
            </w:r>
          </w:p>
        </w:tc>
        <w:tc>
          <w:tcPr>
            <w:tcW w:type="dxa" w:w="6624"/>
            <w:vAlign w:val="center"/>
          </w:tcPr>
          <w:p>
            <w:pPr>
              <w:spacing w:after="0" w:line="240" w:lineRule="auto"/>
            </w:pPr>
            <w:r/>
            <w:r>
              <w:rPr>
                <w:rFonts w:ascii="Arial" w:hAnsi="Arial"/>
                <w:b w:val="0"/>
                <w:sz w:val="14"/>
              </w:rPr>
              <w:t>The product shall present available GDPI with OD/TP distinctions and accurate fiscal/YTD period labels.</w:t>
            </w:r>
          </w:p>
        </w:tc>
      </w:tr>
      <w:tr>
        <w:tc>
          <w:tcPr>
            <w:tcW w:type="dxa" w:w="936"/>
            <w:vAlign w:val="center"/>
          </w:tcPr>
          <w:p>
            <w:pPr>
              <w:spacing w:after="0" w:line="240" w:lineRule="auto"/>
            </w:pPr>
            <w:r/>
            <w:r>
              <w:rPr>
                <w:rFonts w:ascii="Arial" w:hAnsi="Arial"/>
                <w:b/>
                <w:sz w:val="14"/>
              </w:rPr>
              <w:t>BR-04</w:t>
            </w:r>
          </w:p>
        </w:tc>
        <w:tc>
          <w:tcPr>
            <w:tcW w:type="dxa" w:w="2232"/>
            <w:vAlign w:val="center"/>
          </w:tcPr>
          <w:p>
            <w:pPr>
              <w:spacing w:after="0" w:line="240" w:lineRule="auto"/>
            </w:pPr>
            <w:r/>
            <w:r>
              <w:rPr>
                <w:rFonts w:ascii="Arial" w:hAnsi="Arial"/>
                <w:b w:val="0"/>
                <w:sz w:val="14"/>
              </w:rPr>
              <w:t>Actuarial scenarios</w:t>
            </w:r>
          </w:p>
        </w:tc>
        <w:tc>
          <w:tcPr>
            <w:tcW w:type="dxa" w:w="6624"/>
            <w:vAlign w:val="center"/>
          </w:tcPr>
          <w:p>
            <w:pPr>
              <w:spacing w:after="0" w:line="240" w:lineRule="auto"/>
            </w:pPr>
            <w:r/>
            <w:r>
              <w:rPr>
                <w:rFonts w:ascii="Arial" w:hAnsi="Arial"/>
                <w:b w:val="0"/>
                <w:sz w:val="14"/>
              </w:rPr>
              <w:t>The product shall support configurable frequency × severity scenarios, keeping TP separate from OD and treating TP pricing as externally constrained.</w:t>
            </w:r>
          </w:p>
        </w:tc>
      </w:tr>
      <w:tr>
        <w:tc>
          <w:tcPr>
            <w:tcW w:type="dxa" w:w="936"/>
            <w:vAlign w:val="center"/>
          </w:tcPr>
          <w:p>
            <w:pPr>
              <w:spacing w:after="0" w:line="240" w:lineRule="auto"/>
            </w:pPr>
            <w:r/>
            <w:r>
              <w:rPr>
                <w:rFonts w:ascii="Arial" w:hAnsi="Arial"/>
                <w:b/>
                <w:sz w:val="14"/>
              </w:rPr>
              <w:t>BR-05</w:t>
            </w:r>
          </w:p>
        </w:tc>
        <w:tc>
          <w:tcPr>
            <w:tcW w:type="dxa" w:w="2232"/>
            <w:vAlign w:val="center"/>
          </w:tcPr>
          <w:p>
            <w:pPr>
              <w:spacing w:after="0" w:line="240" w:lineRule="auto"/>
            </w:pPr>
            <w:r/>
            <w:r>
              <w:rPr>
                <w:rFonts w:ascii="Arial" w:hAnsi="Arial"/>
                <w:b w:val="0"/>
                <w:sz w:val="14"/>
              </w:rPr>
              <w:t>Profitability stress</w:t>
            </w:r>
          </w:p>
        </w:tc>
        <w:tc>
          <w:tcPr>
            <w:tcW w:type="dxa" w:w="6624"/>
            <w:vAlign w:val="center"/>
          </w:tcPr>
          <w:p>
            <w:pPr>
              <w:spacing w:after="0" w:line="240" w:lineRule="auto"/>
            </w:pPr>
            <w:r/>
            <w:r>
              <w:rPr>
                <w:rFonts w:ascii="Arial" w:hAnsi="Arial"/>
                <w:b w:val="0"/>
                <w:sz w:val="14"/>
              </w:rPr>
              <w:t>The product shall calculate scenario-based loss ratio, combined ratio and underwriting profit where the required inputs are supplied.</w:t>
            </w:r>
          </w:p>
        </w:tc>
      </w:tr>
      <w:tr>
        <w:tc>
          <w:tcPr>
            <w:tcW w:type="dxa" w:w="936"/>
            <w:vAlign w:val="center"/>
          </w:tcPr>
          <w:p>
            <w:pPr>
              <w:spacing w:after="0" w:line="240" w:lineRule="auto"/>
            </w:pPr>
            <w:r/>
            <w:r>
              <w:rPr>
                <w:rFonts w:ascii="Arial" w:hAnsi="Arial"/>
                <w:b/>
                <w:sz w:val="14"/>
              </w:rPr>
              <w:t>BR-06</w:t>
            </w:r>
          </w:p>
        </w:tc>
        <w:tc>
          <w:tcPr>
            <w:tcW w:type="dxa" w:w="2232"/>
            <w:vAlign w:val="center"/>
          </w:tcPr>
          <w:p>
            <w:pPr>
              <w:spacing w:after="0" w:line="240" w:lineRule="auto"/>
            </w:pPr>
            <w:r/>
            <w:r>
              <w:rPr>
                <w:rFonts w:ascii="Arial" w:hAnsi="Arial"/>
                <w:b w:val="0"/>
                <w:sz w:val="14"/>
              </w:rPr>
              <w:t>Sensitivity / break-even</w:t>
            </w:r>
          </w:p>
        </w:tc>
        <w:tc>
          <w:tcPr>
            <w:tcW w:type="dxa" w:w="6624"/>
            <w:vAlign w:val="center"/>
          </w:tcPr>
          <w:p>
            <w:pPr>
              <w:spacing w:after="0" w:line="240" w:lineRule="auto"/>
            </w:pPr>
            <w:r/>
            <w:r>
              <w:rPr>
                <w:rFonts w:ascii="Arial" w:hAnsi="Arial"/>
                <w:b w:val="0"/>
                <w:sz w:val="14"/>
              </w:rPr>
              <w:t>The product shall calculate break-even claim-severity inflation from explicitly defined baseline assumptions; any 16–17% figure is a placeholder until reproduced from confirmed inputs.</w:t>
            </w:r>
          </w:p>
        </w:tc>
      </w:tr>
      <w:tr>
        <w:tc>
          <w:tcPr>
            <w:tcW w:type="dxa" w:w="936"/>
            <w:vAlign w:val="center"/>
          </w:tcPr>
          <w:p>
            <w:pPr>
              <w:spacing w:after="0" w:line="240" w:lineRule="auto"/>
            </w:pPr>
            <w:r/>
            <w:r>
              <w:rPr>
                <w:rFonts w:ascii="Arial" w:hAnsi="Arial"/>
                <w:b/>
                <w:sz w:val="14"/>
              </w:rPr>
              <w:t>BR-07</w:t>
            </w:r>
          </w:p>
        </w:tc>
        <w:tc>
          <w:tcPr>
            <w:tcW w:type="dxa" w:w="2232"/>
            <w:vAlign w:val="center"/>
          </w:tcPr>
          <w:p>
            <w:pPr>
              <w:spacing w:after="0" w:line="240" w:lineRule="auto"/>
            </w:pPr>
            <w:r/>
            <w:r>
              <w:rPr>
                <w:rFonts w:ascii="Arial" w:hAnsi="Arial"/>
                <w:b w:val="0"/>
                <w:sz w:val="14"/>
              </w:rPr>
              <w:t>Adverse selection</w:t>
            </w:r>
          </w:p>
        </w:tc>
        <w:tc>
          <w:tcPr>
            <w:tcW w:type="dxa" w:w="6624"/>
            <w:vAlign w:val="center"/>
          </w:tcPr>
          <w:p>
            <w:pPr>
              <w:spacing w:after="0" w:line="240" w:lineRule="auto"/>
            </w:pPr>
            <w:r/>
            <w:r>
              <w:rPr>
                <w:rFonts w:ascii="Arial" w:hAnsi="Arial"/>
                <w:b w:val="0"/>
                <w:sz w:val="14"/>
              </w:rPr>
              <w:t>The product shall compare assumed risk profiles for newly captured uninsured vehicles against an existing portfolio.</w:t>
            </w:r>
          </w:p>
        </w:tc>
      </w:tr>
      <w:tr>
        <w:tc>
          <w:tcPr>
            <w:tcW w:type="dxa" w:w="936"/>
            <w:vAlign w:val="center"/>
          </w:tcPr>
          <w:p>
            <w:pPr>
              <w:spacing w:after="0" w:line="240" w:lineRule="auto"/>
            </w:pPr>
            <w:r/>
            <w:r>
              <w:rPr>
                <w:rFonts w:ascii="Arial" w:hAnsi="Arial"/>
                <w:b/>
                <w:sz w:val="14"/>
              </w:rPr>
              <w:t>BR-08</w:t>
            </w:r>
          </w:p>
        </w:tc>
        <w:tc>
          <w:tcPr>
            <w:tcW w:type="dxa" w:w="2232"/>
            <w:vAlign w:val="center"/>
          </w:tcPr>
          <w:p>
            <w:pPr>
              <w:spacing w:after="0" w:line="240" w:lineRule="auto"/>
            </w:pPr>
            <w:r/>
            <w:r>
              <w:rPr>
                <w:rFonts w:ascii="Arial" w:hAnsi="Arial"/>
                <w:b w:val="0"/>
                <w:sz w:val="14"/>
              </w:rPr>
              <w:t>GTM decision support</w:t>
            </w:r>
          </w:p>
        </w:tc>
        <w:tc>
          <w:tcPr>
            <w:tcW w:type="dxa" w:w="6624"/>
            <w:vAlign w:val="center"/>
          </w:tcPr>
          <w:p>
            <w:pPr>
              <w:spacing w:after="0" w:line="240" w:lineRule="auto"/>
            </w:pPr>
            <w:r/>
            <w:r>
              <w:rPr>
                <w:rFonts w:ascii="Arial" w:hAnsi="Arial"/>
                <w:b w:val="0"/>
                <w:sz w:val="14"/>
              </w:rPr>
              <w:t>The product shall support renewal/retention scenarios, uninsured-gap capture, OD pricing scenarios, RTO prioritization and add-on attachment scenarios.</w:t>
            </w:r>
          </w:p>
        </w:tc>
      </w:tr>
      <w:tr>
        <w:tc>
          <w:tcPr>
            <w:tcW w:type="dxa" w:w="936"/>
            <w:vAlign w:val="center"/>
          </w:tcPr>
          <w:p>
            <w:pPr>
              <w:spacing w:after="0" w:line="240" w:lineRule="auto"/>
            </w:pPr>
            <w:r/>
            <w:r>
              <w:rPr>
                <w:rFonts w:ascii="Arial" w:hAnsi="Arial"/>
                <w:b/>
                <w:sz w:val="14"/>
              </w:rPr>
              <w:t>BR-09</w:t>
            </w:r>
          </w:p>
        </w:tc>
        <w:tc>
          <w:tcPr>
            <w:tcW w:type="dxa" w:w="2232"/>
            <w:vAlign w:val="center"/>
          </w:tcPr>
          <w:p>
            <w:pPr>
              <w:spacing w:after="0" w:line="240" w:lineRule="auto"/>
            </w:pPr>
            <w:r/>
            <w:r>
              <w:rPr>
                <w:rFonts w:ascii="Arial" w:hAnsi="Arial"/>
                <w:b w:val="0"/>
                <w:sz w:val="14"/>
              </w:rPr>
              <w:t>Transparent evidence</w:t>
            </w:r>
          </w:p>
        </w:tc>
        <w:tc>
          <w:tcPr>
            <w:tcW w:type="dxa" w:w="6624"/>
            <w:vAlign w:val="center"/>
          </w:tcPr>
          <w:p>
            <w:pPr>
              <w:spacing w:after="0" w:line="240" w:lineRule="auto"/>
            </w:pPr>
            <w:r/>
            <w:r>
              <w:rPr>
                <w:rFonts w:ascii="Arial" w:hAnsi="Arial"/>
                <w:b w:val="0"/>
                <w:sz w:val="14"/>
              </w:rPr>
              <w:t>The product shall label observed data, model outputs, assumptions and scenario results distinctly.</w:t>
            </w:r>
          </w:p>
        </w:tc>
      </w:tr>
    </w:tbl>
    <w:p>
      <w:pPr>
        <w:spacing w:after="0"/>
      </w:pPr>
    </w:p>
    <w:p>
      <w:pPr>
        <w:pStyle w:val="Heading2"/>
      </w:pPr>
      <w:r>
        <w:t>2.6 Business success measures</w:t>
      </w:r>
    </w:p>
    <w:p>
      <w:r>
        <w:t>Success will be assessed by analytical quality and decision usefulness rather than unverified financial uplift. Measures include reproducibility of key metrics, forecast performance against simple baselines, completeness of scenario inputs and outputs, transparent reporting of uncertainty, and the ability to compare GTM choices under consistent assumptions. Real-world commercial uplift requires subsequent validation against insurer and market data.</w:t>
      </w:r>
    </w:p>
    <w:p>
      <w:pPr>
        <w:pStyle w:val="Heading1"/>
      </w:pPr>
      <w:r>
        <w:t>3. Software Requirements Specification (SRS)</w:t>
      </w:r>
    </w:p>
    <w:p>
      <w:pPr>
        <w:pStyle w:val="Heading2"/>
      </w:pPr>
      <w:r>
        <w:t>3.1 Product overview and modules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1F4E79"/>
          </w:tcPr>
          <w:p>
            <w:pPr>
              <w:spacing w:after="0" w:line="240" w:lineRule="auto"/>
            </w:pPr>
            <w:r/>
            <w:r>
              <w:rPr>
                <w:rFonts w:ascii="Arial" w:hAnsi="Arial"/>
                <w:b/>
                <w:color w:val="FFFFFF"/>
                <w:sz w:val="14"/>
              </w:rPr>
              <w:t>Module</w:t>
            </w:r>
          </w:p>
        </w:tc>
        <w:tc>
          <w:tcPr>
            <w:tcW w:type="dxa" w:w="6120"/>
            <w:vAlign w:val="center"/>
            <w:shd w:fill="1F4E79"/>
          </w:tcPr>
          <w:p>
            <w:pPr>
              <w:spacing w:after="0" w:line="240" w:lineRule="auto"/>
            </w:pPr>
            <w:r/>
            <w:r>
              <w:rPr>
                <w:rFonts w:ascii="Arial" w:hAnsi="Arial"/>
                <w:b/>
                <w:color w:val="FFFFFF"/>
                <w:sz w:val="14"/>
              </w:rPr>
              <w:t>Required capability</w:t>
            </w:r>
          </w:p>
        </w:tc>
        <w:tc>
          <w:tcPr>
            <w:tcW w:type="dxa" w:w="1656"/>
            <w:vAlign w:val="center"/>
            <w:shd w:fill="1F4E79"/>
          </w:tcPr>
          <w:p>
            <w:pPr>
              <w:spacing w:after="0" w:line="240" w:lineRule="auto"/>
            </w:pPr>
            <w:r/>
            <w:r>
              <w:rPr>
                <w:rFonts w:ascii="Arial" w:hAnsi="Arial"/>
                <w:b/>
                <w:color w:val="FFFFFF"/>
                <w:sz w:val="14"/>
              </w:rPr>
              <w:t>Status</w:t>
            </w:r>
          </w:p>
        </w:tc>
      </w:tr>
      <w:tr>
        <w:tc>
          <w:tcPr>
            <w:tcW w:type="dxa" w:w="2088"/>
            <w:vAlign w:val="center"/>
          </w:tcPr>
          <w:p>
            <w:pPr>
              <w:spacing w:after="0" w:line="240" w:lineRule="auto"/>
            </w:pPr>
            <w:r/>
            <w:r>
              <w:rPr>
                <w:rFonts w:ascii="Arial" w:hAnsi="Arial"/>
                <w:b/>
                <w:sz w:val="14"/>
              </w:rPr>
              <w:t>Market intelligence</w:t>
            </w:r>
          </w:p>
        </w:tc>
        <w:tc>
          <w:tcPr>
            <w:tcW w:type="dxa" w:w="6120"/>
            <w:vAlign w:val="center"/>
          </w:tcPr>
          <w:p>
            <w:pPr>
              <w:spacing w:after="0" w:line="240" w:lineRule="auto"/>
            </w:pPr>
            <w:r/>
            <w:r>
              <w:rPr>
                <w:rFonts w:ascii="Arial" w:hAnsi="Arial"/>
                <w:b w:val="0"/>
                <w:sz w:val="14"/>
              </w:rPr>
              <w:t>Monthly/annual registration trends, growth, fuel mix, E20 labels, EV trend and GDPI context.</w:t>
            </w:r>
          </w:p>
        </w:tc>
        <w:tc>
          <w:tcPr>
            <w:tcW w:type="dxa" w:w="1656"/>
            <w:vAlign w:val="center"/>
          </w:tcPr>
          <w:p>
            <w:pPr>
              <w:spacing w:after="0" w:line="240" w:lineRule="auto"/>
            </w:pPr>
            <w:r/>
            <w:r>
              <w:rPr>
                <w:rFonts w:ascii="Arial" w:hAnsi="Arial"/>
                <w:b w:val="0"/>
                <w:sz w:val="14"/>
              </w:rPr>
              <w:t>Initial EDA completed; audit/reproduction required.</w:t>
            </w:r>
          </w:p>
        </w:tc>
      </w:tr>
      <w:tr>
        <w:tc>
          <w:tcPr>
            <w:tcW w:type="dxa" w:w="2088"/>
            <w:vAlign w:val="center"/>
          </w:tcPr>
          <w:p>
            <w:pPr>
              <w:spacing w:after="0" w:line="240" w:lineRule="auto"/>
            </w:pPr>
            <w:r/>
            <w:r>
              <w:rPr>
                <w:rFonts w:ascii="Arial" w:hAnsi="Arial"/>
                <w:b/>
                <w:sz w:val="14"/>
              </w:rPr>
              <w:t>Forecasting</w:t>
            </w:r>
          </w:p>
        </w:tc>
        <w:tc>
          <w:tcPr>
            <w:tcW w:type="dxa" w:w="6120"/>
            <w:vAlign w:val="center"/>
          </w:tcPr>
          <w:p>
            <w:pPr>
              <w:spacing w:after="0" w:line="240" w:lineRule="auto"/>
            </w:pPr>
            <w:r/>
            <w:r>
              <w:rPr>
                <w:rFonts w:ascii="Arial" w:hAnsi="Arial"/>
                <w:b w:val="0"/>
                <w:sz w:val="14"/>
              </w:rPr>
              <w:t>Compare baselines and suitable time-series / feature-based models with temporal validation.</w:t>
            </w:r>
          </w:p>
        </w:tc>
        <w:tc>
          <w:tcPr>
            <w:tcW w:type="dxa" w:w="1656"/>
            <w:vAlign w:val="center"/>
          </w:tcPr>
          <w:p>
            <w:pPr>
              <w:spacing w:after="0" w:line="240" w:lineRule="auto"/>
            </w:pPr>
            <w:r/>
            <w:r>
              <w:rPr>
                <w:rFonts w:ascii="Arial" w:hAnsi="Arial"/>
                <w:b w:val="0"/>
                <w:sz w:val="14"/>
              </w:rPr>
              <w:t>Current project stage: forecasting comparison.</w:t>
            </w:r>
          </w:p>
        </w:tc>
      </w:tr>
      <w:tr>
        <w:tc>
          <w:tcPr>
            <w:tcW w:type="dxa" w:w="2088"/>
            <w:vAlign w:val="center"/>
          </w:tcPr>
          <w:p>
            <w:pPr>
              <w:spacing w:after="0" w:line="240" w:lineRule="auto"/>
            </w:pPr>
            <w:r/>
            <w:r>
              <w:rPr>
                <w:rFonts w:ascii="Arial" w:hAnsi="Arial"/>
                <w:b/>
                <w:sz w:val="14"/>
              </w:rPr>
              <w:t>Actuarial scenario engine</w:t>
            </w:r>
          </w:p>
        </w:tc>
        <w:tc>
          <w:tcPr>
            <w:tcW w:type="dxa" w:w="6120"/>
            <w:vAlign w:val="center"/>
          </w:tcPr>
          <w:p>
            <w:pPr>
              <w:spacing w:after="0" w:line="240" w:lineRule="auto"/>
            </w:pPr>
            <w:r/>
            <w:r>
              <w:rPr>
                <w:rFonts w:ascii="Arial" w:hAnsi="Arial"/>
                <w:b w:val="0"/>
                <w:sz w:val="14"/>
              </w:rPr>
              <w:t>Frequency × severity, OD/TP separation, loss/combined ratio, underwriting result, stress and break-even calculations.</w:t>
            </w:r>
          </w:p>
        </w:tc>
        <w:tc>
          <w:tcPr>
            <w:tcW w:type="dxa" w:w="1656"/>
            <w:vAlign w:val="center"/>
          </w:tcPr>
          <w:p>
            <w:pPr>
              <w:spacing w:after="0" w:line="240" w:lineRule="auto"/>
            </w:pPr>
            <w:r/>
            <w:r>
              <w:rPr>
                <w:rFonts w:ascii="Arial" w:hAnsi="Arial"/>
                <w:b w:val="0"/>
                <w:sz w:val="14"/>
              </w:rPr>
              <w:t>Planned; requires explicit assumptions and inputs.</w:t>
            </w:r>
          </w:p>
        </w:tc>
      </w:tr>
      <w:tr>
        <w:tc>
          <w:tcPr>
            <w:tcW w:type="dxa" w:w="2088"/>
            <w:vAlign w:val="center"/>
          </w:tcPr>
          <w:p>
            <w:pPr>
              <w:spacing w:after="0" w:line="240" w:lineRule="auto"/>
            </w:pPr>
            <w:r/>
            <w:r>
              <w:rPr>
                <w:rFonts w:ascii="Arial" w:hAnsi="Arial"/>
                <w:b/>
                <w:sz w:val="14"/>
              </w:rPr>
              <w:t>GTM scenario engine</w:t>
            </w:r>
          </w:p>
        </w:tc>
        <w:tc>
          <w:tcPr>
            <w:tcW w:type="dxa" w:w="6120"/>
            <w:vAlign w:val="center"/>
          </w:tcPr>
          <w:p>
            <w:pPr>
              <w:spacing w:after="0" w:line="240" w:lineRule="auto"/>
            </w:pPr>
            <w:r/>
            <w:r>
              <w:rPr>
                <w:rFonts w:ascii="Arial" w:hAnsi="Arial"/>
                <w:b w:val="0"/>
                <w:sz w:val="14"/>
              </w:rPr>
              <w:t>Retention, uninsured-gap capture, adverse selection, OD pricing, RTO priority and add-on economics.</w:t>
            </w:r>
          </w:p>
        </w:tc>
        <w:tc>
          <w:tcPr>
            <w:tcW w:type="dxa" w:w="1656"/>
            <w:vAlign w:val="center"/>
          </w:tcPr>
          <w:p>
            <w:pPr>
              <w:spacing w:after="0" w:line="240" w:lineRule="auto"/>
            </w:pPr>
            <w:r/>
            <w:r>
              <w:rPr>
                <w:rFonts w:ascii="Arial" w:hAnsi="Arial"/>
                <w:b w:val="0"/>
                <w:sz w:val="14"/>
              </w:rPr>
              <w:t>Planned; scenario-based until calibrated.</w:t>
            </w:r>
          </w:p>
        </w:tc>
      </w:tr>
      <w:tr>
        <w:tc>
          <w:tcPr>
            <w:tcW w:type="dxa" w:w="2088"/>
            <w:vAlign w:val="center"/>
          </w:tcPr>
          <w:p>
            <w:pPr>
              <w:spacing w:after="0" w:line="240" w:lineRule="auto"/>
            </w:pPr>
            <w:r/>
            <w:r>
              <w:rPr>
                <w:rFonts w:ascii="Arial" w:hAnsi="Arial"/>
                <w:b/>
                <w:sz w:val="14"/>
              </w:rPr>
              <w:t>Dashboard and reporting</w:t>
            </w:r>
          </w:p>
        </w:tc>
        <w:tc>
          <w:tcPr>
            <w:tcW w:type="dxa" w:w="6120"/>
            <w:vAlign w:val="center"/>
          </w:tcPr>
          <w:p>
            <w:pPr>
              <w:spacing w:after="0" w:line="240" w:lineRule="auto"/>
            </w:pPr>
            <w:r/>
            <w:r>
              <w:rPr>
                <w:rFonts w:ascii="Arial" w:hAnsi="Arial"/>
                <w:b w:val="0"/>
                <w:sz w:val="14"/>
              </w:rPr>
              <w:t>Present validated metrics, forecasts, scenarios, flags, assumptions and caveats.</w:t>
            </w:r>
          </w:p>
        </w:tc>
        <w:tc>
          <w:tcPr>
            <w:tcW w:type="dxa" w:w="1656"/>
            <w:vAlign w:val="center"/>
          </w:tcPr>
          <w:p>
            <w:pPr>
              <w:spacing w:after="0" w:line="240" w:lineRule="auto"/>
            </w:pPr>
            <w:r/>
            <w:r>
              <w:rPr>
                <w:rFonts w:ascii="Arial" w:hAnsi="Arial"/>
                <w:b w:val="0"/>
                <w:sz w:val="14"/>
              </w:rPr>
              <w:t>Not built yet; build after analytical review.</w:t>
            </w:r>
          </w:p>
        </w:tc>
      </w:tr>
    </w:tbl>
    <w:p>
      <w:pPr>
        <w:spacing w:after="0"/>
      </w:pPr>
    </w:p>
    <w:p>
      <w:pPr>
        <w:pStyle w:val="Heading2"/>
      </w:pPr>
      <w:r>
        <w:t>3.2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1F4E79"/>
          </w:tcPr>
          <w:p>
            <w:pPr>
              <w:spacing w:after="0" w:line="240" w:lineRule="auto"/>
            </w:pPr>
            <w:r/>
            <w:r>
              <w:rPr>
                <w:rFonts w:ascii="Arial" w:hAnsi="Arial"/>
                <w:b/>
                <w:color w:val="FFFFFF"/>
                <w:sz w:val="14"/>
              </w:rPr>
              <w:t>ID</w:t>
            </w:r>
          </w:p>
        </w:tc>
        <w:tc>
          <w:tcPr>
            <w:tcW w:type="dxa" w:w="2088"/>
            <w:vAlign w:val="center"/>
            <w:shd w:fill="1F4E79"/>
          </w:tcPr>
          <w:p>
            <w:pPr>
              <w:spacing w:after="0" w:line="240" w:lineRule="auto"/>
            </w:pPr>
            <w:r/>
            <w:r>
              <w:rPr>
                <w:rFonts w:ascii="Arial" w:hAnsi="Arial"/>
                <w:b/>
                <w:color w:val="FFFFFF"/>
                <w:sz w:val="14"/>
              </w:rPr>
              <w:t>Feature</w:t>
            </w:r>
          </w:p>
        </w:tc>
        <w:tc>
          <w:tcPr>
            <w:tcW w:type="dxa" w:w="6984"/>
            <w:vAlign w:val="center"/>
            <w:shd w:fill="1F4E79"/>
          </w:tcPr>
          <w:p>
            <w:pPr>
              <w:spacing w:after="0" w:line="240" w:lineRule="auto"/>
            </w:pPr>
            <w:r/>
            <w:r>
              <w:rPr>
                <w:rFonts w:ascii="Arial" w:hAnsi="Arial"/>
                <w:b/>
                <w:color w:val="FFFFFF"/>
                <w:sz w:val="14"/>
              </w:rPr>
              <w:t>System requirement</w:t>
            </w:r>
          </w:p>
        </w:tc>
      </w:tr>
      <w:tr>
        <w:tc>
          <w:tcPr>
            <w:tcW w:type="dxa" w:w="936"/>
            <w:vAlign w:val="center"/>
          </w:tcPr>
          <w:p>
            <w:pPr>
              <w:spacing w:after="0" w:line="240" w:lineRule="auto"/>
            </w:pPr>
            <w:r/>
            <w:r>
              <w:rPr>
                <w:rFonts w:ascii="Arial" w:hAnsi="Arial"/>
                <w:b/>
                <w:sz w:val="14"/>
              </w:rPr>
              <w:t>FR-01</w:t>
            </w:r>
          </w:p>
        </w:tc>
        <w:tc>
          <w:tcPr>
            <w:tcW w:type="dxa" w:w="2088"/>
            <w:vAlign w:val="center"/>
          </w:tcPr>
          <w:p>
            <w:pPr>
              <w:spacing w:after="0" w:line="240" w:lineRule="auto"/>
            </w:pPr>
            <w:r/>
            <w:r>
              <w:rPr>
                <w:rFonts w:ascii="Arial" w:hAnsi="Arial"/>
                <w:b w:val="0"/>
                <w:sz w:val="14"/>
              </w:rPr>
              <w:t>Data ingestion</w:t>
            </w:r>
          </w:p>
        </w:tc>
        <w:tc>
          <w:tcPr>
            <w:tcW w:type="dxa" w:w="6984"/>
            <w:vAlign w:val="center"/>
          </w:tcPr>
          <w:p>
            <w:pPr>
              <w:spacing w:after="0" w:line="240" w:lineRule="auto"/>
            </w:pPr>
            <w:r/>
            <w:r>
              <w:rPr>
                <w:rFonts w:ascii="Arial" w:hAnsi="Arial"/>
                <w:b w:val="0"/>
                <w:sz w:val="14"/>
              </w:rPr>
              <w:t>Load cleaned registration, GDPI, fuel-price and available supporting datasets.</w:t>
            </w:r>
          </w:p>
        </w:tc>
      </w:tr>
      <w:tr>
        <w:tc>
          <w:tcPr>
            <w:tcW w:type="dxa" w:w="936"/>
            <w:vAlign w:val="center"/>
          </w:tcPr>
          <w:p>
            <w:pPr>
              <w:spacing w:after="0" w:line="240" w:lineRule="auto"/>
            </w:pPr>
            <w:r/>
            <w:r>
              <w:rPr>
                <w:rFonts w:ascii="Arial" w:hAnsi="Arial"/>
                <w:b/>
                <w:sz w:val="14"/>
              </w:rPr>
              <w:t>FR-02</w:t>
            </w:r>
          </w:p>
        </w:tc>
        <w:tc>
          <w:tcPr>
            <w:tcW w:type="dxa" w:w="2088"/>
            <w:vAlign w:val="center"/>
          </w:tcPr>
          <w:p>
            <w:pPr>
              <w:spacing w:after="0" w:line="240" w:lineRule="auto"/>
            </w:pPr>
            <w:r/>
            <w:r>
              <w:rPr>
                <w:rFonts w:ascii="Arial" w:hAnsi="Arial"/>
                <w:b w:val="0"/>
                <w:sz w:val="14"/>
              </w:rPr>
              <w:t>Data validation</w:t>
            </w:r>
          </w:p>
        </w:tc>
        <w:tc>
          <w:tcPr>
            <w:tcW w:type="dxa" w:w="6984"/>
            <w:vAlign w:val="center"/>
          </w:tcPr>
          <w:p>
            <w:pPr>
              <w:spacing w:after="0" w:line="240" w:lineRule="auto"/>
            </w:pPr>
            <w:r/>
            <w:r>
              <w:rPr>
                <w:rFonts w:ascii="Arial" w:hAnsi="Arial"/>
                <w:b w:val="0"/>
                <w:sz w:val="14"/>
              </w:rPr>
              <w:t>Check date ranges, missing values, duplicates, categories, source coverage and calculation consistency.</w:t>
            </w:r>
          </w:p>
        </w:tc>
      </w:tr>
      <w:tr>
        <w:tc>
          <w:tcPr>
            <w:tcW w:type="dxa" w:w="936"/>
            <w:vAlign w:val="center"/>
          </w:tcPr>
          <w:p>
            <w:pPr>
              <w:spacing w:after="0" w:line="240" w:lineRule="auto"/>
            </w:pPr>
            <w:r/>
            <w:r>
              <w:rPr>
                <w:rFonts w:ascii="Arial" w:hAnsi="Arial"/>
                <w:b/>
                <w:sz w:val="14"/>
              </w:rPr>
              <w:t>FR-03</w:t>
            </w:r>
          </w:p>
        </w:tc>
        <w:tc>
          <w:tcPr>
            <w:tcW w:type="dxa" w:w="2088"/>
            <w:vAlign w:val="center"/>
          </w:tcPr>
          <w:p>
            <w:pPr>
              <w:spacing w:after="0" w:line="240" w:lineRule="auto"/>
            </w:pPr>
            <w:r/>
            <w:r>
              <w:rPr>
                <w:rFonts w:ascii="Arial" w:hAnsi="Arial"/>
                <w:b w:val="0"/>
                <w:sz w:val="14"/>
              </w:rPr>
              <w:t>Registration analytics</w:t>
            </w:r>
          </w:p>
        </w:tc>
        <w:tc>
          <w:tcPr>
            <w:tcW w:type="dxa" w:w="6984"/>
            <w:vAlign w:val="center"/>
          </w:tcPr>
          <w:p>
            <w:pPr>
              <w:spacing w:after="0" w:line="240" w:lineRule="auto"/>
            </w:pPr>
            <w:r/>
            <w:r>
              <w:rPr>
                <w:rFonts w:ascii="Arial" w:hAnsi="Arial"/>
                <w:b w:val="0"/>
                <w:sz w:val="14"/>
              </w:rPr>
              <w:t>Calculate monthly/annual registration totals and growth from the appropriate statewide series.</w:t>
            </w:r>
          </w:p>
        </w:tc>
      </w:tr>
      <w:tr>
        <w:tc>
          <w:tcPr>
            <w:tcW w:type="dxa" w:w="936"/>
            <w:vAlign w:val="center"/>
          </w:tcPr>
          <w:p>
            <w:pPr>
              <w:spacing w:after="0" w:line="240" w:lineRule="auto"/>
            </w:pPr>
            <w:r/>
            <w:r>
              <w:rPr>
                <w:rFonts w:ascii="Arial" w:hAnsi="Arial"/>
                <w:b/>
                <w:sz w:val="14"/>
              </w:rPr>
              <w:t>FR-04</w:t>
            </w:r>
          </w:p>
        </w:tc>
        <w:tc>
          <w:tcPr>
            <w:tcW w:type="dxa" w:w="2088"/>
            <w:vAlign w:val="center"/>
          </w:tcPr>
          <w:p>
            <w:pPr>
              <w:spacing w:after="0" w:line="240" w:lineRule="auto"/>
            </w:pPr>
            <w:r/>
            <w:r>
              <w:rPr>
                <w:rFonts w:ascii="Arial" w:hAnsi="Arial"/>
                <w:b w:val="0"/>
                <w:sz w:val="14"/>
              </w:rPr>
              <w:t>Fuel and EV analytics</w:t>
            </w:r>
          </w:p>
        </w:tc>
        <w:tc>
          <w:tcPr>
            <w:tcW w:type="dxa" w:w="6984"/>
            <w:vAlign w:val="center"/>
          </w:tcPr>
          <w:p>
            <w:pPr>
              <w:spacing w:after="0" w:line="240" w:lineRule="auto"/>
            </w:pPr>
            <w:r/>
            <w:r>
              <w:rPr>
                <w:rFonts w:ascii="Arial" w:hAnsi="Arial"/>
                <w:b w:val="0"/>
                <w:sz w:val="14"/>
              </w:rPr>
              <w:t>Track fuel-category shares over time; preserve PETROL(E20) labels when available; document category changes.</w:t>
            </w:r>
          </w:p>
        </w:tc>
      </w:tr>
      <w:tr>
        <w:tc>
          <w:tcPr>
            <w:tcW w:type="dxa" w:w="936"/>
            <w:vAlign w:val="center"/>
          </w:tcPr>
          <w:p>
            <w:pPr>
              <w:spacing w:after="0" w:line="240" w:lineRule="auto"/>
            </w:pPr>
            <w:r/>
            <w:r>
              <w:rPr>
                <w:rFonts w:ascii="Arial" w:hAnsi="Arial"/>
                <w:b/>
                <w:sz w:val="14"/>
              </w:rPr>
              <w:t>FR-05</w:t>
            </w:r>
          </w:p>
        </w:tc>
        <w:tc>
          <w:tcPr>
            <w:tcW w:type="dxa" w:w="2088"/>
            <w:vAlign w:val="center"/>
          </w:tcPr>
          <w:p>
            <w:pPr>
              <w:spacing w:after="0" w:line="240" w:lineRule="auto"/>
            </w:pPr>
            <w:r/>
            <w:r>
              <w:rPr>
                <w:rFonts w:ascii="Arial" w:hAnsi="Arial"/>
                <w:b w:val="0"/>
                <w:sz w:val="14"/>
              </w:rPr>
              <w:t>GDPI analytics</w:t>
            </w:r>
          </w:p>
        </w:tc>
        <w:tc>
          <w:tcPr>
            <w:tcW w:type="dxa" w:w="6984"/>
            <w:vAlign w:val="center"/>
          </w:tcPr>
          <w:p>
            <w:pPr>
              <w:spacing w:after="0" w:line="240" w:lineRule="auto"/>
            </w:pPr>
            <w:r/>
            <w:r>
              <w:rPr>
                <w:rFonts w:ascii="Arial" w:hAnsi="Arial"/>
                <w:b w:val="0"/>
                <w:sz w:val="14"/>
              </w:rPr>
              <w:t>Display available OD, TP and total GDPI with currency units and reporting-period labels.</w:t>
            </w:r>
          </w:p>
        </w:tc>
      </w:tr>
      <w:tr>
        <w:tc>
          <w:tcPr>
            <w:tcW w:type="dxa" w:w="936"/>
            <w:vAlign w:val="center"/>
          </w:tcPr>
          <w:p>
            <w:pPr>
              <w:spacing w:after="0" w:line="240" w:lineRule="auto"/>
            </w:pPr>
            <w:r/>
            <w:r>
              <w:rPr>
                <w:rFonts w:ascii="Arial" w:hAnsi="Arial"/>
                <w:b/>
                <w:sz w:val="14"/>
              </w:rPr>
              <w:t>FR-06</w:t>
            </w:r>
          </w:p>
        </w:tc>
        <w:tc>
          <w:tcPr>
            <w:tcW w:type="dxa" w:w="2088"/>
            <w:vAlign w:val="center"/>
          </w:tcPr>
          <w:p>
            <w:pPr>
              <w:spacing w:after="0" w:line="240" w:lineRule="auto"/>
            </w:pPr>
            <w:r/>
            <w:r>
              <w:rPr>
                <w:rFonts w:ascii="Arial" w:hAnsi="Arial"/>
                <w:b w:val="0"/>
                <w:sz w:val="14"/>
              </w:rPr>
              <w:t>Forecast comparison</w:t>
            </w:r>
          </w:p>
        </w:tc>
        <w:tc>
          <w:tcPr>
            <w:tcW w:type="dxa" w:w="6984"/>
            <w:vAlign w:val="center"/>
          </w:tcPr>
          <w:p>
            <w:pPr>
              <w:spacing w:after="0" w:line="240" w:lineRule="auto"/>
            </w:pPr>
            <w:r/>
            <w:r>
              <w:rPr>
                <w:rFonts w:ascii="Arial" w:hAnsi="Arial"/>
                <w:b w:val="0"/>
                <w:sz w:val="14"/>
              </w:rPr>
              <w:t>Compare seasonal-naive and suitable candidate models; report MAE/RMSE, forecast plots and diagnostics using chronological splits.</w:t>
            </w:r>
          </w:p>
        </w:tc>
      </w:tr>
      <w:tr>
        <w:tc>
          <w:tcPr>
            <w:tcW w:type="dxa" w:w="936"/>
            <w:vAlign w:val="center"/>
          </w:tcPr>
          <w:p>
            <w:pPr>
              <w:spacing w:after="0" w:line="240" w:lineRule="auto"/>
            </w:pPr>
            <w:r/>
            <w:r>
              <w:rPr>
                <w:rFonts w:ascii="Arial" w:hAnsi="Arial"/>
                <w:b/>
                <w:sz w:val="14"/>
              </w:rPr>
              <w:t>FR-07</w:t>
            </w:r>
          </w:p>
        </w:tc>
        <w:tc>
          <w:tcPr>
            <w:tcW w:type="dxa" w:w="2088"/>
            <w:vAlign w:val="center"/>
          </w:tcPr>
          <w:p>
            <w:pPr>
              <w:spacing w:after="0" w:line="240" w:lineRule="auto"/>
            </w:pPr>
            <w:r/>
            <w:r>
              <w:rPr>
                <w:rFonts w:ascii="Arial" w:hAnsi="Arial"/>
                <w:b w:val="0"/>
                <w:sz w:val="14"/>
              </w:rPr>
              <w:t>Frequency × severity</w:t>
            </w:r>
          </w:p>
        </w:tc>
        <w:tc>
          <w:tcPr>
            <w:tcW w:type="dxa" w:w="6984"/>
            <w:vAlign w:val="center"/>
          </w:tcPr>
          <w:p>
            <w:pPr>
              <w:spacing w:after="0" w:line="240" w:lineRule="auto"/>
            </w:pPr>
            <w:r/>
            <w:r>
              <w:rPr>
                <w:rFonts w:ascii="Arial" w:hAnsi="Arial"/>
                <w:b w:val="0"/>
                <w:sz w:val="14"/>
              </w:rPr>
              <w:t>Estimate scenario claims cost as exposure × assumed frequency × assumed severity; allow OD and TP assumptions to be set separately.</w:t>
            </w:r>
          </w:p>
        </w:tc>
      </w:tr>
      <w:tr>
        <w:tc>
          <w:tcPr>
            <w:tcW w:type="dxa" w:w="936"/>
            <w:vAlign w:val="center"/>
          </w:tcPr>
          <w:p>
            <w:pPr>
              <w:spacing w:after="0" w:line="240" w:lineRule="auto"/>
            </w:pPr>
            <w:r/>
            <w:r>
              <w:rPr>
                <w:rFonts w:ascii="Arial" w:hAnsi="Arial"/>
                <w:b/>
                <w:sz w:val="14"/>
              </w:rPr>
              <w:t>FR-08</w:t>
            </w:r>
          </w:p>
        </w:tc>
        <w:tc>
          <w:tcPr>
            <w:tcW w:type="dxa" w:w="2088"/>
            <w:vAlign w:val="center"/>
          </w:tcPr>
          <w:p>
            <w:pPr>
              <w:spacing w:after="0" w:line="240" w:lineRule="auto"/>
            </w:pPr>
            <w:r/>
            <w:r>
              <w:rPr>
                <w:rFonts w:ascii="Arial" w:hAnsi="Arial"/>
                <w:b w:val="0"/>
                <w:sz w:val="14"/>
              </w:rPr>
              <w:t>Profitability calculations</w:t>
            </w:r>
          </w:p>
        </w:tc>
        <w:tc>
          <w:tcPr>
            <w:tcW w:type="dxa" w:w="6984"/>
            <w:vAlign w:val="center"/>
          </w:tcPr>
          <w:p>
            <w:pPr>
              <w:spacing w:after="0" w:line="240" w:lineRule="auto"/>
            </w:pPr>
            <w:r/>
            <w:r>
              <w:rPr>
                <w:rFonts w:ascii="Arial" w:hAnsi="Arial"/>
                <w:b w:val="0"/>
                <w:sz w:val="14"/>
              </w:rPr>
              <w:t>Calculate loss ratio, combined ratio and underwriting result from supplied premium, claims and expense inputs; show formulas and units.</w:t>
            </w:r>
          </w:p>
        </w:tc>
      </w:tr>
      <w:tr>
        <w:tc>
          <w:tcPr>
            <w:tcW w:type="dxa" w:w="936"/>
            <w:vAlign w:val="center"/>
          </w:tcPr>
          <w:p>
            <w:pPr>
              <w:spacing w:after="0" w:line="240" w:lineRule="auto"/>
            </w:pPr>
            <w:r/>
            <w:r>
              <w:rPr>
                <w:rFonts w:ascii="Arial" w:hAnsi="Arial"/>
                <w:b/>
                <w:sz w:val="14"/>
              </w:rPr>
              <w:t>FR-09</w:t>
            </w:r>
          </w:p>
        </w:tc>
        <w:tc>
          <w:tcPr>
            <w:tcW w:type="dxa" w:w="2088"/>
            <w:vAlign w:val="center"/>
          </w:tcPr>
          <w:p>
            <w:pPr>
              <w:spacing w:after="0" w:line="240" w:lineRule="auto"/>
            </w:pPr>
            <w:r/>
            <w:r>
              <w:rPr>
                <w:rFonts w:ascii="Arial" w:hAnsi="Arial"/>
                <w:b w:val="0"/>
                <w:sz w:val="14"/>
              </w:rPr>
              <w:t>Stress and break-even</w:t>
            </w:r>
          </w:p>
        </w:tc>
        <w:tc>
          <w:tcPr>
            <w:tcW w:type="dxa" w:w="6984"/>
            <w:vAlign w:val="center"/>
          </w:tcPr>
          <w:p>
            <w:pPr>
              <w:spacing w:after="0" w:line="240" w:lineRule="auto"/>
            </w:pPr>
            <w:r/>
            <w:r>
              <w:rPr>
                <w:rFonts w:ascii="Arial" w:hAnsi="Arial"/>
                <w:b w:val="0"/>
                <w:sz w:val="14"/>
              </w:rPr>
              <w:t>Vary claim severity and other assumptions to identify scenario break-even points and sensitivity.</w:t>
            </w:r>
          </w:p>
        </w:tc>
      </w:tr>
      <w:tr>
        <w:tc>
          <w:tcPr>
            <w:tcW w:type="dxa" w:w="936"/>
            <w:vAlign w:val="center"/>
          </w:tcPr>
          <w:p>
            <w:pPr>
              <w:spacing w:after="0" w:line="240" w:lineRule="auto"/>
            </w:pPr>
            <w:r/>
            <w:r>
              <w:rPr>
                <w:rFonts w:ascii="Arial" w:hAnsi="Arial"/>
                <w:b/>
                <w:sz w:val="14"/>
              </w:rPr>
              <w:t>FR-10</w:t>
            </w:r>
          </w:p>
        </w:tc>
        <w:tc>
          <w:tcPr>
            <w:tcW w:type="dxa" w:w="2088"/>
            <w:vAlign w:val="center"/>
          </w:tcPr>
          <w:p>
            <w:pPr>
              <w:spacing w:after="0" w:line="240" w:lineRule="auto"/>
            </w:pPr>
            <w:r/>
            <w:r>
              <w:rPr>
                <w:rFonts w:ascii="Arial" w:hAnsi="Arial"/>
                <w:b w:val="0"/>
                <w:sz w:val="14"/>
              </w:rPr>
              <w:t>Adverse-selection test</w:t>
            </w:r>
          </w:p>
        </w:tc>
        <w:tc>
          <w:tcPr>
            <w:tcW w:type="dxa" w:w="6984"/>
            <w:vAlign w:val="center"/>
          </w:tcPr>
          <w:p>
            <w:pPr>
              <w:spacing w:after="0" w:line="240" w:lineRule="auto"/>
            </w:pPr>
            <w:r/>
            <w:r>
              <w:rPr>
                <w:rFonts w:ascii="Arial" w:hAnsi="Arial"/>
                <w:b w:val="0"/>
                <w:sz w:val="14"/>
              </w:rPr>
              <w:t>Compare expected outcomes for newly captured uninsured risks versus an existing portfolio using configurable risk assumptions.</w:t>
            </w:r>
          </w:p>
        </w:tc>
      </w:tr>
      <w:tr>
        <w:tc>
          <w:tcPr>
            <w:tcW w:type="dxa" w:w="936"/>
            <w:vAlign w:val="center"/>
          </w:tcPr>
          <w:p>
            <w:pPr>
              <w:spacing w:after="0" w:line="240" w:lineRule="auto"/>
            </w:pPr>
            <w:r/>
            <w:r>
              <w:rPr>
                <w:rFonts w:ascii="Arial" w:hAnsi="Arial"/>
                <w:b/>
                <w:sz w:val="14"/>
              </w:rPr>
              <w:t>FR-11</w:t>
            </w:r>
          </w:p>
        </w:tc>
        <w:tc>
          <w:tcPr>
            <w:tcW w:type="dxa" w:w="2088"/>
            <w:vAlign w:val="center"/>
          </w:tcPr>
          <w:p>
            <w:pPr>
              <w:spacing w:after="0" w:line="240" w:lineRule="auto"/>
            </w:pPr>
            <w:r/>
            <w:r>
              <w:rPr>
                <w:rFonts w:ascii="Arial" w:hAnsi="Arial"/>
                <w:b w:val="0"/>
                <w:sz w:val="14"/>
              </w:rPr>
              <w:t>GTM scenarios</w:t>
            </w:r>
          </w:p>
        </w:tc>
        <w:tc>
          <w:tcPr>
            <w:tcW w:type="dxa" w:w="6984"/>
            <w:vAlign w:val="center"/>
          </w:tcPr>
          <w:p>
            <w:pPr>
              <w:spacing w:after="0" w:line="240" w:lineRule="auto"/>
            </w:pPr>
            <w:r/>
            <w:r>
              <w:rPr>
                <w:rFonts w:ascii="Arial" w:hAnsi="Arial"/>
                <w:b w:val="0"/>
                <w:sz w:val="14"/>
              </w:rPr>
              <w:t>Model retention, acquisition/capture, OD price changes, RTO prioritization and add-on attach using explicit conversion, cost and margin assumptions.</w:t>
            </w:r>
          </w:p>
        </w:tc>
      </w:tr>
      <w:tr>
        <w:tc>
          <w:tcPr>
            <w:tcW w:type="dxa" w:w="936"/>
            <w:vAlign w:val="center"/>
          </w:tcPr>
          <w:p>
            <w:pPr>
              <w:spacing w:after="0" w:line="240" w:lineRule="auto"/>
            </w:pPr>
            <w:r/>
            <w:r>
              <w:rPr>
                <w:rFonts w:ascii="Arial" w:hAnsi="Arial"/>
                <w:b/>
                <w:sz w:val="14"/>
              </w:rPr>
              <w:t>FR-12</w:t>
            </w:r>
          </w:p>
        </w:tc>
        <w:tc>
          <w:tcPr>
            <w:tcW w:type="dxa" w:w="2088"/>
            <w:vAlign w:val="center"/>
          </w:tcPr>
          <w:p>
            <w:pPr>
              <w:spacing w:after="0" w:line="240" w:lineRule="auto"/>
            </w:pPr>
            <w:r/>
            <w:r>
              <w:rPr>
                <w:rFonts w:ascii="Arial" w:hAnsi="Arial"/>
                <w:b w:val="0"/>
                <w:sz w:val="14"/>
              </w:rPr>
              <w:t>RTO / EV flags</w:t>
            </w:r>
          </w:p>
        </w:tc>
        <w:tc>
          <w:tcPr>
            <w:tcW w:type="dxa" w:w="6984"/>
            <w:vAlign w:val="center"/>
          </w:tcPr>
          <w:p>
            <w:pPr>
              <w:spacing w:after="0" w:line="240" w:lineRule="auto"/>
            </w:pPr>
            <w:r/>
            <w:r>
              <w:rPr>
                <w:rFonts w:ascii="Arial" w:hAnsi="Arial"/>
                <w:b w:val="0"/>
                <w:sz w:val="14"/>
              </w:rPr>
              <w:t>Rank RTOs where coverage supports comparison and flag EV trends; mark missing or non-comparable data.</w:t>
            </w:r>
          </w:p>
        </w:tc>
      </w:tr>
      <w:tr>
        <w:tc>
          <w:tcPr>
            <w:tcW w:type="dxa" w:w="936"/>
            <w:vAlign w:val="center"/>
          </w:tcPr>
          <w:p>
            <w:pPr>
              <w:spacing w:after="0" w:line="240" w:lineRule="auto"/>
            </w:pPr>
            <w:r/>
            <w:r>
              <w:rPr>
                <w:rFonts w:ascii="Arial" w:hAnsi="Arial"/>
                <w:b/>
                <w:sz w:val="14"/>
              </w:rPr>
              <w:t>FR-13</w:t>
            </w:r>
          </w:p>
        </w:tc>
        <w:tc>
          <w:tcPr>
            <w:tcW w:type="dxa" w:w="2088"/>
            <w:vAlign w:val="center"/>
          </w:tcPr>
          <w:p>
            <w:pPr>
              <w:spacing w:after="0" w:line="240" w:lineRule="auto"/>
            </w:pPr>
            <w:r/>
            <w:r>
              <w:rPr>
                <w:rFonts w:ascii="Arial" w:hAnsi="Arial"/>
                <w:b w:val="0"/>
                <w:sz w:val="14"/>
              </w:rPr>
              <w:t>Reporting / dashboard</w:t>
            </w:r>
          </w:p>
        </w:tc>
        <w:tc>
          <w:tcPr>
            <w:tcW w:type="dxa" w:w="6984"/>
            <w:vAlign w:val="center"/>
          </w:tcPr>
          <w:p>
            <w:pPr>
              <w:spacing w:after="0" w:line="240" w:lineRule="auto"/>
            </w:pPr>
            <w:r/>
            <w:r>
              <w:rPr>
                <w:rFonts w:ascii="Arial" w:hAnsi="Arial"/>
                <w:b w:val="0"/>
                <w:sz w:val="14"/>
              </w:rPr>
              <w:t>Present charts, tables, forecasts, scenario comparisons and caveats; dashboard is a later deliverable.</w:t>
            </w:r>
          </w:p>
        </w:tc>
      </w:tr>
      <w:tr>
        <w:tc>
          <w:tcPr>
            <w:tcW w:type="dxa" w:w="936"/>
            <w:vAlign w:val="center"/>
          </w:tcPr>
          <w:p>
            <w:pPr>
              <w:spacing w:after="0" w:line="240" w:lineRule="auto"/>
            </w:pPr>
            <w:r/>
            <w:r>
              <w:rPr>
                <w:rFonts w:ascii="Arial" w:hAnsi="Arial"/>
                <w:b/>
                <w:sz w:val="14"/>
              </w:rPr>
              <w:t>FR-14</w:t>
            </w:r>
          </w:p>
        </w:tc>
        <w:tc>
          <w:tcPr>
            <w:tcW w:type="dxa" w:w="2088"/>
            <w:vAlign w:val="center"/>
          </w:tcPr>
          <w:p>
            <w:pPr>
              <w:spacing w:after="0" w:line="240" w:lineRule="auto"/>
            </w:pPr>
            <w:r/>
            <w:r>
              <w:rPr>
                <w:rFonts w:ascii="Arial" w:hAnsi="Arial"/>
                <w:b w:val="0"/>
                <w:sz w:val="14"/>
              </w:rPr>
              <w:t>Traceability</w:t>
            </w:r>
          </w:p>
        </w:tc>
        <w:tc>
          <w:tcPr>
            <w:tcW w:type="dxa" w:w="6984"/>
            <w:vAlign w:val="center"/>
          </w:tcPr>
          <w:p>
            <w:pPr>
              <w:spacing w:after="0" w:line="240" w:lineRule="auto"/>
            </w:pPr>
            <w:r/>
            <w:r>
              <w:rPr>
                <w:rFonts w:ascii="Arial" w:hAnsi="Arial"/>
                <w:b w:val="0"/>
                <w:sz w:val="14"/>
              </w:rPr>
              <w:t>Record data source, date window, assumptions and model configuration for each reported output.</w:t>
            </w:r>
          </w:p>
        </w:tc>
      </w:tr>
    </w:tbl>
    <w:p>
      <w:pPr>
        <w:spacing w:after="0"/>
      </w:pPr>
    </w:p>
    <w:p>
      <w:pPr>
        <w:pStyle w:val="Heading2"/>
      </w:pPr>
      <w:r>
        <w:t>3.3 Data requirements and business rules</w:t>
      </w:r>
    </w:p>
    <w:p>
      <w:pPr>
        <w:pStyle w:val="ListBullet"/>
      </w:pPr>
      <w:r>
        <w:t>Use `data_type == 'monthly'` for monthly analysis; annual rows that duplicate monthly sums must not be combined with monthly records.</w:t>
      </w:r>
    </w:p>
    <w:p>
      <w:pPr>
        <w:pStyle w:val="ListBullet"/>
      </w:pPr>
      <w:r>
        <w:t>`MH-ALL` is the Maharashtra statewide series. Do not add individual RTO totals to statewide totals.</w:t>
      </w:r>
    </w:p>
    <w:p>
      <w:pPr>
        <w:pStyle w:val="ListBullet"/>
      </w:pPr>
      <w:r>
        <w:t>Use complete months through September 2026 for the current analysis; label January–September 2026 as a nine-month period and exclude partial October 2026 from complete-month comparisons.</w:t>
      </w:r>
    </w:p>
    <w:p>
      <w:pPr>
        <w:pStyle w:val="ListBullet"/>
      </w:pPr>
      <w:r>
        <w:t>Preserve `PETROL(E20)` as a distinct source label when present. It indicates a registration/type classification, not verified E20 fuel consumption.</w:t>
      </w:r>
    </w:p>
    <w:p>
      <w:pPr>
        <w:pStyle w:val="ListBullet"/>
      </w:pPr>
      <w:r>
        <w:t>Fuel-category definitions and EV labels can change over time; document mappings and test comparability before making longitudinal claims.</w:t>
      </w:r>
    </w:p>
    <w:p>
      <w:pPr>
        <w:pStyle w:val="ListBullet"/>
      </w:pPr>
      <w:r>
        <w:t>GDPI represents premium income and cannot alone establish insured-vehicle counts, insurance penetration, claims frequency/severity, loss ratios or combined ratios.</w:t>
      </w:r>
    </w:p>
    <w:p>
      <w:pPr>
        <w:pStyle w:val="ListBullet"/>
      </w:pPr>
      <w:r>
        <w:t>National insurer GDPI extracts may be year-to-date. Compare like-for-like periods and never label YTD figures as full-year totals.</w:t>
      </w:r>
    </w:p>
    <w:p>
      <w:pPr>
        <w:pStyle w:val="ListBullet"/>
      </w:pPr>
      <w:r>
        <w:t>RTO coverage is uneven, and the current registration data lacks vehicle class and engine capacity. Show coverage warnings and do not infer unsupported class-level results.</w:t>
      </w:r>
    </w:p>
    <w:p>
      <w:pPr>
        <w:pStyle w:val="Heading2"/>
      </w:pPr>
      <w:r>
        <w:t>3.4 Actuarial model definitions</w:t>
      </w:r>
    </w:p>
    <w:p>
      <w:r>
        <w:t>The scenario engine should expose inputs and formulas rather than hide assumptions. A basic expected-claims-cost calculation is exposure × claim frequency × average claim severity. Loss ratio is incurred claims divided by earned premium. Combined ratio is loss ratio plus the applicable expense ratio, provided definitions and denominators are consistent. Underwriting result is earned premium minus claims and underwriting expenses. OD and TP must be calculated separately before any combined view.</w:t>
      </w:r>
    </w:p>
    <w:p>
      <w:r>
        <w:t>TP pricing shall be treated as regulator-constrained; the product may stress TP claims and profitability but shall not present TP price as a freely adjustable optimization lever. Break-even severity inflation must be recalculated from the selected baseline; the previously mentioned 16–17% is a placeholder, not a verified project finding.</w:t>
      </w:r>
    </w:p>
    <w:p>
      <w:pPr>
        <w:pStyle w:val="Heading2"/>
      </w:pPr>
      <w:r>
        <w:t>3.5 GTM model definitions</w:t>
      </w:r>
    </w:p>
    <w:p>
      <w:pPr>
        <w:pStyle w:val="ListBullet"/>
      </w:pPr>
      <w:r>
        <w:t>Prioritize renewal and retention scenarios before assuming aggressive new-customer acquisition.</w:t>
      </w:r>
    </w:p>
    <w:p>
      <w:pPr>
        <w:pStyle w:val="ListBullet"/>
      </w:pPr>
      <w:r>
        <w:t>Test uninsured-gap capture for both growth and expected margin impact, accounting for assumed risk mix, conversion, acquisition cost and expected claims.</w:t>
      </w:r>
    </w:p>
    <w:p>
      <w:pPr>
        <w:pStyle w:val="ListBullet"/>
      </w:pPr>
      <w:r>
        <w:t>Model OD price changes as a scenario lever, with demand response and risk assumptions explicitly specified; keep TP regulated.</w:t>
      </w:r>
    </w:p>
    <w:p>
      <w:pPr>
        <w:pStyle w:val="ListBullet"/>
      </w:pPr>
      <w:r>
        <w:t>Rank RTOs only where registration data coverage is adequate; use EV-readiness as a proxy flag, not as proof of insurer operational readiness.</w:t>
      </w:r>
    </w:p>
    <w:p>
      <w:pPr>
        <w:pStyle w:val="ListBullet"/>
      </w:pPr>
      <w:r>
        <w:t>Model zero-depreciation, roadside assistance and other add-ons through assumed attach rates, incremental premium, servicing cost and expected claims impact.</w:t>
      </w:r>
    </w:p>
    <w:p>
      <w:pPr>
        <w:pStyle w:val="Heading2"/>
      </w:pPr>
      <w:r>
        <w:t>3.6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9"/>
          </w:tcPr>
          <w:p>
            <w:pPr>
              <w:spacing w:after="0" w:line="240" w:lineRule="auto"/>
            </w:pPr>
            <w:r/>
            <w:r>
              <w:rPr>
                <w:rFonts w:ascii="Arial" w:hAnsi="Arial"/>
                <w:b/>
                <w:color w:val="FFFFFF"/>
                <w:sz w:val="15"/>
              </w:rPr>
              <w:t>Attribute</w:t>
            </w:r>
          </w:p>
        </w:tc>
        <w:tc>
          <w:tcPr>
            <w:tcW w:type="dxa" w:w="7344"/>
            <w:vAlign w:val="center"/>
            <w:shd w:fill="1F4E79"/>
          </w:tcPr>
          <w:p>
            <w:pPr>
              <w:spacing w:after="0" w:line="240" w:lineRule="auto"/>
            </w:pPr>
            <w:r/>
            <w:r>
              <w:rPr>
                <w:rFonts w:ascii="Arial" w:hAnsi="Arial"/>
                <w:b/>
                <w:color w:val="FFFFFF"/>
                <w:sz w:val="15"/>
              </w:rPr>
              <w:t>Requirement</w:t>
            </w:r>
          </w:p>
        </w:tc>
      </w:tr>
      <w:tr>
        <w:tc>
          <w:tcPr>
            <w:tcW w:type="dxa" w:w="2448"/>
            <w:vAlign w:val="center"/>
          </w:tcPr>
          <w:p>
            <w:pPr>
              <w:spacing w:after="0" w:line="240" w:lineRule="auto"/>
            </w:pPr>
            <w:r/>
            <w:r>
              <w:rPr>
                <w:rFonts w:ascii="Arial" w:hAnsi="Arial"/>
                <w:b/>
                <w:sz w:val="15"/>
              </w:rPr>
              <w:t>Accuracy and reproducibility</w:t>
            </w:r>
          </w:p>
        </w:tc>
        <w:tc>
          <w:tcPr>
            <w:tcW w:type="dxa" w:w="7344"/>
            <w:vAlign w:val="center"/>
          </w:tcPr>
          <w:p>
            <w:pPr>
              <w:spacing w:after="0" w:line="240" w:lineRule="auto"/>
            </w:pPr>
            <w:r/>
            <w:r>
              <w:rPr>
                <w:rFonts w:ascii="Arial" w:hAnsi="Arial"/>
                <w:b w:val="0"/>
                <w:sz w:val="15"/>
              </w:rPr>
              <w:t>Core totals and scenario calculations must be reproducible from documented inputs and transformations.</w:t>
            </w:r>
          </w:p>
        </w:tc>
      </w:tr>
      <w:tr>
        <w:tc>
          <w:tcPr>
            <w:tcW w:type="dxa" w:w="2448"/>
            <w:vAlign w:val="center"/>
          </w:tcPr>
          <w:p>
            <w:pPr>
              <w:spacing w:after="0" w:line="240" w:lineRule="auto"/>
            </w:pPr>
            <w:r/>
            <w:r>
              <w:rPr>
                <w:rFonts w:ascii="Arial" w:hAnsi="Arial"/>
                <w:b/>
                <w:sz w:val="15"/>
              </w:rPr>
              <w:t>Traceability</w:t>
            </w:r>
          </w:p>
        </w:tc>
        <w:tc>
          <w:tcPr>
            <w:tcW w:type="dxa" w:w="7344"/>
            <w:vAlign w:val="center"/>
          </w:tcPr>
          <w:p>
            <w:pPr>
              <w:spacing w:after="0" w:line="240" w:lineRule="auto"/>
            </w:pPr>
            <w:r/>
            <w:r>
              <w:rPr>
                <w:rFonts w:ascii="Arial" w:hAnsi="Arial"/>
                <w:b w:val="0"/>
                <w:sz w:val="15"/>
              </w:rPr>
              <w:t>Every output must expose its source period, definitions, model version/configuration and assumptions.</w:t>
            </w:r>
          </w:p>
        </w:tc>
      </w:tr>
      <w:tr>
        <w:tc>
          <w:tcPr>
            <w:tcW w:type="dxa" w:w="2448"/>
            <w:vAlign w:val="center"/>
          </w:tcPr>
          <w:p>
            <w:pPr>
              <w:spacing w:after="0" w:line="240" w:lineRule="auto"/>
            </w:pPr>
            <w:r/>
            <w:r>
              <w:rPr>
                <w:rFonts w:ascii="Arial" w:hAnsi="Arial"/>
                <w:b/>
                <w:sz w:val="15"/>
              </w:rPr>
              <w:t>Usability</w:t>
            </w:r>
          </w:p>
        </w:tc>
        <w:tc>
          <w:tcPr>
            <w:tcW w:type="dxa" w:w="7344"/>
            <w:vAlign w:val="center"/>
          </w:tcPr>
          <w:p>
            <w:pPr>
              <w:spacing w:after="0" w:line="240" w:lineRule="auto"/>
            </w:pPr>
            <w:r/>
            <w:r>
              <w:rPr>
                <w:rFonts w:ascii="Arial" w:hAnsi="Arial"/>
                <w:b w:val="0"/>
                <w:sz w:val="15"/>
              </w:rPr>
              <w:t>Reports and dashboard views must use clear labels, units, concise explanations and readable visualizations.</w:t>
            </w:r>
          </w:p>
        </w:tc>
      </w:tr>
      <w:tr>
        <w:tc>
          <w:tcPr>
            <w:tcW w:type="dxa" w:w="2448"/>
            <w:vAlign w:val="center"/>
          </w:tcPr>
          <w:p>
            <w:pPr>
              <w:spacing w:after="0" w:line="240" w:lineRule="auto"/>
            </w:pPr>
            <w:r/>
            <w:r>
              <w:rPr>
                <w:rFonts w:ascii="Arial" w:hAnsi="Arial"/>
                <w:b/>
                <w:sz w:val="15"/>
              </w:rPr>
              <w:t>Reliability</w:t>
            </w:r>
          </w:p>
        </w:tc>
        <w:tc>
          <w:tcPr>
            <w:tcW w:type="dxa" w:w="7344"/>
            <w:vAlign w:val="center"/>
          </w:tcPr>
          <w:p>
            <w:pPr>
              <w:spacing w:after="0" w:line="240" w:lineRule="auto"/>
            </w:pPr>
            <w:r/>
            <w:r>
              <w:rPr>
                <w:rFonts w:ascii="Arial" w:hAnsi="Arial"/>
                <w:b w:val="0"/>
                <w:sz w:val="15"/>
              </w:rPr>
              <w:t>Forecast evaluation must preserve time order and avoid leakage from the held-out test period.</w:t>
            </w:r>
          </w:p>
        </w:tc>
      </w:tr>
      <w:tr>
        <w:tc>
          <w:tcPr>
            <w:tcW w:type="dxa" w:w="2448"/>
            <w:vAlign w:val="center"/>
          </w:tcPr>
          <w:p>
            <w:pPr>
              <w:spacing w:after="0" w:line="240" w:lineRule="auto"/>
            </w:pPr>
            <w:r/>
            <w:r>
              <w:rPr>
                <w:rFonts w:ascii="Arial" w:hAnsi="Arial"/>
                <w:b/>
                <w:sz w:val="15"/>
              </w:rPr>
              <w:t>Configurability</w:t>
            </w:r>
          </w:p>
        </w:tc>
        <w:tc>
          <w:tcPr>
            <w:tcW w:type="dxa" w:w="7344"/>
            <w:vAlign w:val="center"/>
          </w:tcPr>
          <w:p>
            <w:pPr>
              <w:spacing w:after="0" w:line="240" w:lineRule="auto"/>
            </w:pPr>
            <w:r/>
            <w:r>
              <w:rPr>
                <w:rFonts w:ascii="Arial" w:hAnsi="Arial"/>
                <w:b w:val="0"/>
                <w:sz w:val="15"/>
              </w:rPr>
              <w:t>Scenario inputs must be editable and defaults clearly marked as assumptions or placeholders.</w:t>
            </w:r>
          </w:p>
        </w:tc>
      </w:tr>
      <w:tr>
        <w:tc>
          <w:tcPr>
            <w:tcW w:type="dxa" w:w="2448"/>
            <w:vAlign w:val="center"/>
          </w:tcPr>
          <w:p>
            <w:pPr>
              <w:spacing w:after="0" w:line="240" w:lineRule="auto"/>
            </w:pPr>
            <w:r/>
            <w:r>
              <w:rPr>
                <w:rFonts w:ascii="Arial" w:hAnsi="Arial"/>
                <w:b/>
                <w:sz w:val="15"/>
              </w:rPr>
              <w:t>Responsible interpretation</w:t>
            </w:r>
          </w:p>
        </w:tc>
        <w:tc>
          <w:tcPr>
            <w:tcW w:type="dxa" w:w="7344"/>
            <w:vAlign w:val="center"/>
          </w:tcPr>
          <w:p>
            <w:pPr>
              <w:spacing w:after="0" w:line="240" w:lineRule="auto"/>
            </w:pPr>
            <w:r/>
            <w:r>
              <w:rPr>
                <w:rFonts w:ascii="Arial" w:hAnsi="Arial"/>
                <w:b w:val="0"/>
                <w:sz w:val="15"/>
              </w:rPr>
              <w:t>Separate observed metrics, forecast estimates, scenario outputs and causal claims.</w:t>
            </w:r>
          </w:p>
        </w:tc>
      </w:tr>
    </w:tbl>
    <w:p>
      <w:pPr>
        <w:spacing w:after="0"/>
      </w:pPr>
    </w:p>
    <w:p>
      <w:pPr>
        <w:pStyle w:val="Heading1"/>
      </w:pPr>
      <w:r>
        <w:t>4. Assumptions, dependencies and limitations</w:t>
      </w:r>
    </w:p>
    <w:p>
      <w:pPr>
        <w:pStyle w:val="ListBullet"/>
      </w:pPr>
      <w:r>
        <w:t>Scenario outputs depend on input assumptions. If insurer policy, claims, expense, retention, acquisition or add-on data is unavailable, results must be described as illustrative and not empirically validated.</w:t>
      </w:r>
    </w:p>
    <w:p>
      <w:pPr>
        <w:pStyle w:val="ListBullet"/>
      </w:pPr>
      <w:r>
        <w:t>The current data inventory supports market-level descriptive analysis but does not directly link registrations to insurance policies or claims.</w:t>
      </w:r>
    </w:p>
    <w:p>
      <w:pPr>
        <w:pStyle w:val="ListBullet"/>
      </w:pPr>
      <w:r>
        <w:t>RTO-level prioritization is constrained by uneven data coverage and the absence of direct insurance penetration or operational EV-readiness measures.</w:t>
      </w:r>
    </w:p>
    <w:p>
      <w:pPr>
        <w:pStyle w:val="ListBullet"/>
      </w:pPr>
      <w:r>
        <w:t>Any positive-control or policy-impact analysis requiring vehicle class, engine capacity or aligned policy dates remains blocked until the relevant data is available.</w:t>
      </w:r>
    </w:p>
    <w:p>
      <w:pPr>
        <w:pStyle w:val="ListBullet"/>
      </w:pPr>
      <w:r>
        <w:t>No causal effect of E20-labelled vehicles or EV adoption on insurance premiums or claims should be claimed from the current datasets.</w:t>
      </w:r>
    </w:p>
    <w:p>
      <w:pPr>
        <w:pStyle w:val="Heading1"/>
      </w:pPr>
      <w:r>
        <w:t>5. Acceptance criteria</w:t>
      </w:r>
    </w:p>
    <w:p>
      <w:pPr>
        <w:pStyle w:val="ListBullet"/>
      </w:pPr>
      <w:r>
        <w:t>The main registration and fuel-mix metrics can be reproduced from documented cleaned inputs without monthly/annual or statewide/RTO double counting.</w:t>
      </w:r>
    </w:p>
    <w:p>
      <w:pPr>
        <w:pStyle w:val="ListBullet"/>
      </w:pPr>
      <w:r>
        <w:t>E20 and EV category definitions, coverage gaps and partial-year periods are explicitly documented.</w:t>
      </w:r>
    </w:p>
    <w:p>
      <w:pPr>
        <w:pStyle w:val="ListBullet"/>
      </w:pPr>
      <w:r>
        <w:t>Forecast models are compared against baselines using chronological validation and reported error metrics.</w:t>
      </w:r>
    </w:p>
    <w:p>
      <w:pPr>
        <w:pStyle w:val="ListBullet"/>
      </w:pPr>
      <w:r>
        <w:t>Actuarial scenarios show inputs, formulas, OD/TP separation, sensitivity outputs and a clear assumption label.</w:t>
      </w:r>
    </w:p>
    <w:p>
      <w:pPr>
        <w:pStyle w:val="ListBullet"/>
      </w:pPr>
      <w:r>
        <w:t>GTM scenarios show the assumptions behind retention, uninsured capture, OD pricing, RTO ranking and add-on economics.</w:t>
      </w:r>
    </w:p>
    <w:p>
      <w:pPr>
        <w:pStyle w:val="ListBullet"/>
      </w:pPr>
      <w:r>
        <w:t>GDPI reporting uses correct units and fiscal/YTD period labels and does not misrepresent premium income as claims or exposure.</w:t>
      </w:r>
    </w:p>
    <w:p>
      <w:pPr>
        <w:pStyle w:val="ListBullet"/>
      </w:pPr>
      <w:r>
        <w:t>Dashboard outputs, once built, match validated analytical outputs and display material caveats.</w:t>
      </w:r>
    </w:p>
    <w:p>
      <w:pPr>
        <w:pStyle w:val="Heading1"/>
      </w:pPr>
      <w:r>
        <w:t>6. Delivery plan and current status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9"/>
          </w:tcPr>
          <w:p>
            <w:pPr>
              <w:spacing w:after="0" w:line="240" w:lineRule="auto"/>
            </w:pPr>
            <w:r/>
            <w:r>
              <w:rPr>
                <w:rFonts w:ascii="Arial" w:hAnsi="Arial"/>
                <w:b/>
                <w:color w:val="FFFFFF"/>
                <w:sz w:val="14"/>
              </w:rPr>
              <w:t>Phase</w:t>
            </w:r>
          </w:p>
        </w:tc>
        <w:tc>
          <w:tcPr>
            <w:tcW w:type="dxa" w:w="5472"/>
            <w:vAlign w:val="center"/>
            <w:shd w:fill="1F4E79"/>
          </w:tcPr>
          <w:p>
            <w:pPr>
              <w:spacing w:after="0" w:line="240" w:lineRule="auto"/>
            </w:pPr>
            <w:r/>
            <w:r>
              <w:rPr>
                <w:rFonts w:ascii="Arial" w:hAnsi="Arial"/>
                <w:b/>
                <w:color w:val="FFFFFF"/>
                <w:sz w:val="14"/>
              </w:rPr>
              <w:t>Deliverable</w:t>
            </w:r>
          </w:p>
        </w:tc>
        <w:tc>
          <w:tcPr>
            <w:tcW w:type="dxa" w:w="1944"/>
            <w:vAlign w:val="center"/>
            <w:shd w:fill="1F4E79"/>
          </w:tcPr>
          <w:p>
            <w:pPr>
              <w:spacing w:after="0" w:line="240" w:lineRule="auto"/>
            </w:pPr>
            <w:r/>
            <w:r>
              <w:rPr>
                <w:rFonts w:ascii="Arial" w:hAnsi="Arial"/>
                <w:b/>
                <w:color w:val="FFFFFF"/>
                <w:sz w:val="14"/>
              </w:rPr>
              <w:t>Status</w:t>
            </w:r>
          </w:p>
        </w:tc>
      </w:tr>
      <w:tr>
        <w:tc>
          <w:tcPr>
            <w:tcW w:type="dxa" w:w="2376"/>
            <w:vAlign w:val="center"/>
          </w:tcPr>
          <w:p>
            <w:pPr>
              <w:spacing w:after="0" w:line="240" w:lineRule="auto"/>
            </w:pPr>
            <w:r/>
            <w:r>
              <w:rPr>
                <w:rFonts w:ascii="Arial" w:hAnsi="Arial"/>
                <w:b/>
                <w:sz w:val="14"/>
              </w:rPr>
              <w:t>1. Data inventory and quality review</w:t>
            </w:r>
          </w:p>
        </w:tc>
        <w:tc>
          <w:tcPr>
            <w:tcW w:type="dxa" w:w="5472"/>
            <w:vAlign w:val="center"/>
          </w:tcPr>
          <w:p>
            <w:pPr>
              <w:spacing w:after="0" w:line="240" w:lineRule="auto"/>
            </w:pPr>
            <w:r/>
            <w:r>
              <w:rPr>
                <w:rFonts w:ascii="Arial" w:hAnsi="Arial"/>
                <w:b w:val="0"/>
                <w:sz w:val="14"/>
              </w:rPr>
              <w:t>Dataset inventory, coverage rules and known limitations.</w:t>
            </w:r>
          </w:p>
        </w:tc>
        <w:tc>
          <w:tcPr>
            <w:tcW w:type="dxa" w:w="1944"/>
            <w:vAlign w:val="center"/>
          </w:tcPr>
          <w:p>
            <w:pPr>
              <w:spacing w:after="0" w:line="240" w:lineRule="auto"/>
            </w:pPr>
            <w:r/>
            <w:r>
              <w:rPr>
                <w:rFonts w:ascii="Arial" w:hAnsi="Arial"/>
                <w:b w:val="0"/>
                <w:sz w:val="14"/>
              </w:rPr>
              <w:t>Completed in initial form.</w:t>
            </w:r>
          </w:p>
        </w:tc>
      </w:tr>
      <w:tr>
        <w:tc>
          <w:tcPr>
            <w:tcW w:type="dxa" w:w="2376"/>
            <w:vAlign w:val="center"/>
          </w:tcPr>
          <w:p>
            <w:pPr>
              <w:spacing w:after="0" w:line="240" w:lineRule="auto"/>
            </w:pPr>
            <w:r/>
            <w:r>
              <w:rPr>
                <w:rFonts w:ascii="Arial" w:hAnsi="Arial"/>
                <w:b/>
                <w:sz w:val="14"/>
              </w:rPr>
              <w:t>2. Exploratory data analysis</w:t>
            </w:r>
          </w:p>
        </w:tc>
        <w:tc>
          <w:tcPr>
            <w:tcW w:type="dxa" w:w="5472"/>
            <w:vAlign w:val="center"/>
          </w:tcPr>
          <w:p>
            <w:pPr>
              <w:spacing w:after="0" w:line="240" w:lineRule="auto"/>
            </w:pPr>
            <w:r/>
            <w:r>
              <w:rPr>
                <w:rFonts w:ascii="Arial" w:hAnsi="Arial"/>
                <w:b w:val="0"/>
                <w:sz w:val="14"/>
              </w:rPr>
              <w:t>Registration trends, fuel mix, E20/EV observations and GDPI context.</w:t>
            </w:r>
          </w:p>
        </w:tc>
        <w:tc>
          <w:tcPr>
            <w:tcW w:type="dxa" w:w="1944"/>
            <w:vAlign w:val="center"/>
          </w:tcPr>
          <w:p>
            <w:pPr>
              <w:spacing w:after="0" w:line="240" w:lineRule="auto"/>
            </w:pPr>
            <w:r/>
            <w:r>
              <w:rPr>
                <w:rFonts w:ascii="Arial" w:hAnsi="Arial"/>
                <w:b w:val="0"/>
                <w:sz w:val="14"/>
              </w:rPr>
              <w:t>Initial EDA reported; figures require reproducibility audit.</w:t>
            </w:r>
          </w:p>
        </w:tc>
      </w:tr>
      <w:tr>
        <w:tc>
          <w:tcPr>
            <w:tcW w:type="dxa" w:w="2376"/>
            <w:vAlign w:val="center"/>
          </w:tcPr>
          <w:p>
            <w:pPr>
              <w:spacing w:after="0" w:line="240" w:lineRule="auto"/>
            </w:pPr>
            <w:r/>
            <w:r>
              <w:rPr>
                <w:rFonts w:ascii="Arial" w:hAnsi="Arial"/>
                <w:b/>
                <w:sz w:val="14"/>
              </w:rPr>
              <w:t>3. Forecasting comparison</w:t>
            </w:r>
          </w:p>
        </w:tc>
        <w:tc>
          <w:tcPr>
            <w:tcW w:type="dxa" w:w="5472"/>
            <w:vAlign w:val="center"/>
          </w:tcPr>
          <w:p>
            <w:pPr>
              <w:spacing w:after="0" w:line="240" w:lineRule="auto"/>
            </w:pPr>
            <w:r/>
            <w:r>
              <w:rPr>
                <w:rFonts w:ascii="Arial" w:hAnsi="Arial"/>
                <w:b w:val="0"/>
                <w:sz w:val="14"/>
              </w:rPr>
              <w:t>Baseline/model comparison and time-based evaluation.</w:t>
            </w:r>
          </w:p>
        </w:tc>
        <w:tc>
          <w:tcPr>
            <w:tcW w:type="dxa" w:w="1944"/>
            <w:vAlign w:val="center"/>
          </w:tcPr>
          <w:p>
            <w:pPr>
              <w:spacing w:after="0" w:line="240" w:lineRule="auto"/>
            </w:pPr>
            <w:r/>
            <w:r>
              <w:rPr>
                <w:rFonts w:ascii="Arial" w:hAnsi="Arial"/>
                <w:b w:val="0"/>
                <w:sz w:val="14"/>
              </w:rPr>
              <w:t>Current project stage; do not imply results are finalized unless verified.</w:t>
            </w:r>
          </w:p>
        </w:tc>
      </w:tr>
      <w:tr>
        <w:tc>
          <w:tcPr>
            <w:tcW w:type="dxa" w:w="2376"/>
            <w:vAlign w:val="center"/>
          </w:tcPr>
          <w:p>
            <w:pPr>
              <w:spacing w:after="0" w:line="240" w:lineRule="auto"/>
            </w:pPr>
            <w:r/>
            <w:r>
              <w:rPr>
                <w:rFonts w:ascii="Arial" w:hAnsi="Arial"/>
                <w:b/>
                <w:sz w:val="14"/>
              </w:rPr>
              <w:t>4. Actuarial and GTM scenarios</w:t>
            </w:r>
          </w:p>
        </w:tc>
        <w:tc>
          <w:tcPr>
            <w:tcW w:type="dxa" w:w="5472"/>
            <w:vAlign w:val="center"/>
          </w:tcPr>
          <w:p>
            <w:pPr>
              <w:spacing w:after="0" w:line="240" w:lineRule="auto"/>
            </w:pPr>
            <w:r/>
            <w:r>
              <w:rPr>
                <w:rFonts w:ascii="Arial" w:hAnsi="Arial"/>
                <w:b w:val="0"/>
                <w:sz w:val="14"/>
              </w:rPr>
              <w:t>Configurable frequency/severity, stress, adverse-selection and GTM scenario modules.</w:t>
            </w:r>
          </w:p>
        </w:tc>
        <w:tc>
          <w:tcPr>
            <w:tcW w:type="dxa" w:w="1944"/>
            <w:vAlign w:val="center"/>
          </w:tcPr>
          <w:p>
            <w:pPr>
              <w:spacing w:after="0" w:line="240" w:lineRule="auto"/>
            </w:pPr>
            <w:r/>
            <w:r>
              <w:rPr>
                <w:rFonts w:ascii="Arial" w:hAnsi="Arial"/>
                <w:b w:val="0"/>
                <w:sz w:val="14"/>
              </w:rPr>
              <w:t>Planned; assumptions/data inputs need specification.</w:t>
            </w:r>
          </w:p>
        </w:tc>
      </w:tr>
      <w:tr>
        <w:tc>
          <w:tcPr>
            <w:tcW w:type="dxa" w:w="2376"/>
            <w:vAlign w:val="center"/>
          </w:tcPr>
          <w:p>
            <w:pPr>
              <w:spacing w:after="0" w:line="240" w:lineRule="auto"/>
            </w:pPr>
            <w:r/>
            <w:r>
              <w:rPr>
                <w:rFonts w:ascii="Arial" w:hAnsi="Arial"/>
                <w:b/>
                <w:sz w:val="14"/>
              </w:rPr>
              <w:t>5. Interpretation and validation</w:t>
            </w:r>
          </w:p>
        </w:tc>
        <w:tc>
          <w:tcPr>
            <w:tcW w:type="dxa" w:w="5472"/>
            <w:vAlign w:val="center"/>
          </w:tcPr>
          <w:p>
            <w:pPr>
              <w:spacing w:after="0" w:line="240" w:lineRule="auto"/>
            </w:pPr>
            <w:r/>
            <w:r>
              <w:rPr>
                <w:rFonts w:ascii="Arial" w:hAnsi="Arial"/>
                <w:b w:val="0"/>
                <w:sz w:val="14"/>
              </w:rPr>
              <w:t>Reviewed findings, sensitivity analysis and documented evidence boundaries.</w:t>
            </w:r>
          </w:p>
        </w:tc>
        <w:tc>
          <w:tcPr>
            <w:tcW w:type="dxa" w:w="1944"/>
            <w:vAlign w:val="center"/>
          </w:tcPr>
          <w:p>
            <w:pPr>
              <w:spacing w:after="0" w:line="240" w:lineRule="auto"/>
            </w:pPr>
            <w:r/>
            <w:r>
              <w:rPr>
                <w:rFonts w:ascii="Arial" w:hAnsi="Arial"/>
                <w:b w:val="0"/>
                <w:sz w:val="14"/>
              </w:rPr>
              <w:t>Pending.</w:t>
            </w:r>
          </w:p>
        </w:tc>
      </w:tr>
      <w:tr>
        <w:tc>
          <w:tcPr>
            <w:tcW w:type="dxa" w:w="2376"/>
            <w:vAlign w:val="center"/>
          </w:tcPr>
          <w:p>
            <w:pPr>
              <w:spacing w:after="0" w:line="240" w:lineRule="auto"/>
            </w:pPr>
            <w:r/>
            <w:r>
              <w:rPr>
                <w:rFonts w:ascii="Arial" w:hAnsi="Arial"/>
                <w:b/>
                <w:sz w:val="14"/>
              </w:rPr>
              <w:t>6. Dashboard development</w:t>
            </w:r>
          </w:p>
        </w:tc>
        <w:tc>
          <w:tcPr>
            <w:tcW w:type="dxa" w:w="5472"/>
            <w:vAlign w:val="center"/>
          </w:tcPr>
          <w:p>
            <w:pPr>
              <w:spacing w:after="0" w:line="240" w:lineRule="auto"/>
            </w:pPr>
            <w:r/>
            <w:r>
              <w:rPr>
                <w:rFonts w:ascii="Arial" w:hAnsi="Arial"/>
                <w:b w:val="0"/>
                <w:sz w:val="14"/>
              </w:rPr>
              <w:t>Integrated decision-support dashboard built from validated outputs.</w:t>
            </w:r>
          </w:p>
        </w:tc>
        <w:tc>
          <w:tcPr>
            <w:tcW w:type="dxa" w:w="1944"/>
            <w:vAlign w:val="center"/>
          </w:tcPr>
          <w:p>
            <w:pPr>
              <w:spacing w:after="0" w:line="240" w:lineRule="auto"/>
            </w:pPr>
            <w:r/>
            <w:r>
              <w:rPr>
                <w:rFonts w:ascii="Arial" w:hAnsi="Arial"/>
                <w:b w:val="0"/>
                <w:sz w:val="14"/>
              </w:rPr>
              <w:t>Not built yet.</w:t>
            </w:r>
          </w:p>
        </w:tc>
      </w:tr>
    </w:tbl>
    <w:p>
      <w:pPr>
        <w:spacing w:after="0"/>
      </w:pPr>
    </w:p>
    <w:p>
      <w:pPr>
        <w:pStyle w:val="Heading1"/>
      </w:pPr>
      <w:r>
        <w:t>7. Final product statement</w:t>
      </w:r>
    </w:p>
    <w:p>
      <w:r>
        <w:t>The product is a market-intelligence and decision-support platform for Maharashtra motor insurance. It combines registration and fuel-transition analysis with registration forecasting, scenario-based actuarial stress testing, and GTM prioritization. Its value is to make market opportunities and trade-offs easier to evaluate while clearly distinguishing observed evidence from assumptions. Empirical pricing or profitability validation requires additional policy, claims, expense and customer data.</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5"/>
      </w:rPr>
      <w:t>Combined BRD + SRS | Maharashtra Motor Insurance Intelligence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