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32"/>
        </w:rPr>
        <w:t>OpenWhats: Autonomous Research &amp; Workflow Agent</w:t>
      </w:r>
    </w:p>
    <w:p>
      <w:pPr>
        <w:spacing w:before="120" w:after="40"/>
      </w:pPr>
      <w:r>
        <w:rPr>
          <w:rFonts w:ascii="Arial" w:hAnsi="Arial"/>
          <w:b/>
          <w:sz w:val="22"/>
        </w:rPr>
        <w:t>1. THE PROBLEM</w:t>
      </w:r>
    </w:p>
    <w:p>
      <w:pPr>
        <w:spacing w:after="80" w:line="276" w:lineRule="auto"/>
      </w:pPr>
      <w:r>
        <w:rPr>
          <w:rFonts w:ascii="Arial" w:hAnsi="Arial"/>
          <w:sz w:val="20"/>
        </w:rPr>
        <w:t>Researchers, institutional analysts, and academic authors spend countless hours manually gathering literature, synthesizing evidence, and building software tools or reports. This friction costs them weeks of valuable research time, introduces human error, and delays innovation across institutional and publishing workflows.</w:t>
      </w:r>
    </w:p>
    <w:p>
      <w:pPr>
        <w:spacing w:before="120" w:after="40"/>
      </w:pPr>
      <w:r>
        <w:rPr>
          <w:rFonts w:ascii="Arial" w:hAnsi="Arial"/>
          <w:b/>
          <w:sz w:val="22"/>
        </w:rPr>
        <w:t>2. YOUR WORKFLOW</w:t>
      </w:r>
    </w:p>
    <w:p>
      <w:pPr>
        <w:spacing w:after="80" w:line="276" w:lineRule="auto"/>
      </w:pPr>
      <w:r>
        <w:rPr>
          <w:rFonts w:ascii="Arial" w:hAnsi="Arial"/>
          <w:sz w:val="20"/>
        </w:rPr>
        <w:t>OpenWhats operates through an asynchronous multi-step pipeline:</w:t>
        <w:br/>
        <w:t>• Trigger &amp; Planning: The user inputs a research prompt or development task into the floating agent or chat interface.</w:t>
        <w:br/>
        <w:t>• Autonomous Execution: The agent plans the workflow, runs wide web research, analyzes data, and generates complete codebases or reports.</w:t>
        <w:br/>
        <w:t>• Workspace &amp; Review: All intermediate steps, logs, and generated files appear in a live cloud workspace where users can review, audit, inspect code, or override actions before final export.</w:t>
      </w:r>
    </w:p>
    <w:p>
      <w:pPr>
        <w:spacing w:before="120" w:after="40"/>
      </w:pPr>
      <w:r>
        <w:rPr>
          <w:rFonts w:ascii="Arial" w:hAnsi="Arial"/>
          <w:b/>
          <w:sz w:val="22"/>
        </w:rPr>
        <w:t>3. TRUST, AUDIT AND GOVERNANCE</w:t>
      </w:r>
    </w:p>
    <w:p>
      <w:pPr>
        <w:spacing w:after="80" w:line="276" w:lineRule="auto"/>
      </w:pPr>
      <w:r>
        <w:rPr>
          <w:rFonts w:ascii="Arial" w:hAnsi="Arial"/>
          <w:sz w:val="20"/>
        </w:rPr>
        <w:t>Transparency is built into every step. Users can inspect the exact execution logs, task breakdown steps, and raw source files in the cloud workspace. When uncertain, the agent flags assumptions or halts for human verification, ensuring complete accountability rests with the researcher.</w:t>
      </w:r>
    </w:p>
    <w:p>
      <w:pPr>
        <w:spacing w:before="120" w:after="40"/>
      </w:pPr>
      <w:r>
        <w:rPr>
          <w:rFonts w:ascii="Arial" w:hAnsi="Arial"/>
          <w:b/>
          <w:sz w:val="22"/>
        </w:rPr>
        <w:t>4. TEAM</w:t>
      </w:r>
    </w:p>
    <w:p>
      <w:pPr>
        <w:spacing w:after="80" w:line="276" w:lineRule="auto"/>
      </w:pPr>
      <w:r>
        <w:rPr>
          <w:rFonts w:ascii="Arial" w:hAnsi="Arial"/>
          <w:sz w:val="20"/>
        </w:rPr>
        <w:t>Our team combines expertise in autonomous AI agent architectures, full-stack systems engineering, and academic research workflows. We built OpenWhats to solve our own bottleneck: turning complex multi-step research and technical ideas into functional reality instantly.</w:t>
      </w:r>
    </w:p>
    <w:p>
      <w:pPr>
        <w:spacing w:before="120" w:after="40"/>
      </w:pPr>
      <w:r>
        <w:rPr>
          <w:rFonts w:ascii="Arial" w:hAnsi="Arial"/>
          <w:b/>
          <w:sz w:val="22"/>
        </w:rPr>
        <w:t>5. WHERE YOU ARE TODAY</w:t>
      </w:r>
    </w:p>
    <w:p>
      <w:pPr>
        <w:spacing w:after="80" w:line="276" w:lineRule="auto"/>
      </w:pPr>
      <w:r>
        <w:rPr>
          <w:rFonts w:ascii="Arial" w:hAnsi="Arial"/>
          <w:sz w:val="20"/>
        </w:rPr>
        <w:t>We have a fully functional, production-ready working product deployed in the AI Studio environment, featuring dual light/dark modes, a draggable AI agent assistant, and a cloud workspace simulator. You can test the live application directly via our shared applet deployment URL.</w:t>
      </w:r>
    </w:p>
    <w:p>
      <w:pPr>
        <w:spacing w:before="120" w:after="40"/>
      </w:pPr>
      <w:r>
        <w:rPr>
          <w:rFonts w:ascii="Arial" w:hAnsi="Arial"/>
          <w:b/>
          <w:sz w:val="22"/>
        </w:rPr>
        <w:t>6. ALTERNATIVES AND COMPETITORS</w:t>
      </w:r>
    </w:p>
    <w:p>
      <w:pPr>
        <w:spacing w:after="80" w:line="276" w:lineRule="auto"/>
      </w:pPr>
      <w:r>
        <w:rPr>
          <w:rFonts w:ascii="Arial" w:hAnsi="Arial"/>
          <w:sz w:val="20"/>
        </w:rPr>
        <w:t>Currently, researchers rely on manual search, static LLM chat assistants, or custom scripting—each requiring tedious context switching. While emerging AI tools handle basic summarization, OpenWhats differs by providing end-to-end autonomous execution with built-in code generation, browser operators, and structured audit logs.</w:t>
      </w:r>
    </w:p>
    <w:p>
      <w:pPr>
        <w:spacing w:before="120" w:after="40"/>
      </w:pPr>
      <w:r>
        <w:rPr>
          <w:rFonts w:ascii="Arial" w:hAnsi="Arial"/>
          <w:b/>
          <w:sz w:val="22"/>
        </w:rPr>
        <w:t>7. WHERE THIS GOES</w:t>
      </w:r>
    </w:p>
    <w:p>
      <w:pPr>
        <w:spacing w:after="80" w:line="276" w:lineRule="auto"/>
      </w:pPr>
      <w:r>
        <w:rPr>
          <w:rFonts w:ascii="Arial" w:hAnsi="Arial"/>
          <w:sz w:val="20"/>
        </w:rPr>
        <w:t>Our long-term vision is to become the universal autonomous operating layer for research and enterprise workflows. Commercial monetization relies on tiered SaaS subscriptions (Pro and Enterprise plans) for institutions and heavy research teams needing priority cloud compute and advanced integrations.</w:t>
      </w:r>
    </w:p>
    <w:p>
      <w:pPr>
        <w:spacing w:before="120" w:after="40"/>
      </w:pPr>
      <w:r>
        <w:rPr>
          <w:rFonts w:ascii="Arial" w:hAnsi="Arial"/>
          <w:b/>
          <w:sz w:val="22"/>
        </w:rPr>
        <w:t>8. FIT WITH DIGITAL SCIENCE</w:t>
      </w:r>
    </w:p>
    <w:p>
      <w:pPr>
        <w:spacing w:after="80" w:line="276" w:lineRule="auto"/>
      </w:pPr>
      <w:r>
        <w:rPr>
          <w:rFonts w:ascii="Arial" w:hAnsi="Arial"/>
          <w:sz w:val="20"/>
        </w:rPr>
        <w:t>OpenWhats sits across Discovery, Evidence Synthesis, and Writing &amp; Authorship, serving researchers, institutions, and publishers. We want to collaborate with Digital Science to integrate institutional knowledge graphs, citation databases, and secure publishing pipelines into our autonomous agent ecosystem.</w:t>
      </w:r>
    </w:p>
    <w:p>
      <w:pPr>
        <w:spacing w:before="120" w:after="40"/>
      </w:pPr>
      <w:r>
        <w:rPr>
          <w:rFonts w:ascii="Arial" w:hAnsi="Arial"/>
          <w:b/>
          <w:sz w:val="22"/>
        </w:rPr>
        <w:t>9. BUDGET</w:t>
      </w:r>
    </w:p>
    <w:p>
      <w:pPr>
        <w:spacing w:after="80" w:line="276" w:lineRule="auto"/>
      </w:pPr>
      <w:r>
        <w:rPr>
          <w:rFonts w:ascii="Arial" w:hAnsi="Arial"/>
          <w:sz w:val="20"/>
        </w:rPr>
        <w:t>We would allocate the £25,000 grant across three key areas: £12,000 for secure cloud infrastructure and high-throughput LLM API compute; £8,000 for academic database integrations and publisher API connectors; and £5,000 for user testing with institutional research groups. This funding will allow us to transition from our current prototype into pilot deployments with active academic institutions.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