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PROMETHEAN LABS</w:t>
      </w:r>
    </w:p>
    <w:p>
      <w:r>
        <w:t>Consulting Engagement Model</w:t>
      </w:r>
    </w:p>
    <w:p/>
    <w:p>
      <w:r>
        <w:t>Phase 0 – Presales (Free)</w:t>
      </w:r>
    </w:p>
    <w:p>
      <w:r>
        <w:t>- Introductory discussions</w:t>
      </w:r>
    </w:p>
    <w:p>
      <w:r>
        <w:t>- High-level feasibility assessment</w:t>
      </w:r>
    </w:p>
    <w:p>
      <w:r>
        <w:t>- No implementation work</w:t>
      </w:r>
    </w:p>
    <w:p/>
    <w:p>
      <w:r>
        <w:t>Phase 1 – Paid Discovery</w:t>
      </w:r>
    </w:p>
    <w:p>
      <w:r>
        <w:t>- Technical scoping</w:t>
      </w:r>
    </w:p>
    <w:p>
      <w:r>
        <w:t>- Architecture recommendations</w:t>
      </w:r>
    </w:p>
    <w:p>
      <w:r>
        <w:t>- Initial PRD</w:t>
      </w:r>
    </w:p>
    <w:p>
      <w:r>
        <w:t>- Flat-fee engagement</w:t>
      </w:r>
    </w:p>
    <w:p/>
    <w:p>
      <w:r>
        <w:t>Phase 2 – Proof of Concept (PoC)</w:t>
      </w:r>
    </w:p>
    <w:p>
      <w:r>
        <w:t>- Narrow scope build</w:t>
      </w:r>
    </w:p>
    <w:p>
      <w:r>
        <w:t>- Demonstration of feasibility</w:t>
      </w:r>
    </w:p>
    <w:p>
      <w:r>
        <w:t>- Internal-use only</w:t>
      </w:r>
    </w:p>
    <w:p/>
    <w:p>
      <w:r>
        <w:t>Phase 3 – Prototype Build</w:t>
      </w:r>
    </w:p>
    <w:p>
      <w:r>
        <w:t>- Deployed prototype</w:t>
      </w:r>
    </w:p>
    <w:p>
      <w:r>
        <w:t>- Documentation and walkthrough</w:t>
      </w:r>
    </w:p>
    <w:p>
      <w:r>
        <w:t>- Not production-grade</w:t>
      </w:r>
    </w:p>
    <w:p/>
    <w:p>
      <w:r>
        <w:t>Phase 4 – Optional Extensions</w:t>
      </w:r>
    </w:p>
    <w:p>
      <w:r>
        <w:t>- Requires Change Order or new SOW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