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rPr>
          <w:rFonts w:ascii="Arial" w:hAnsi="Arial"/>
          <w:b/>
          <w:color w:val="2F7868"/>
          <w:sz w:val="20"/>
        </w:rPr>
        <w:t>COMMERCIAL PLAN</w:t>
      </w:r>
    </w:p>
    <w:p>
      <w:pPr>
        <w:spacing w:before="160"/>
      </w:pPr>
      <w:r>
        <w:rPr>
          <w:rFonts w:ascii="Arial" w:hAnsi="Arial"/>
          <w:b/>
          <w:color w:val="273137"/>
          <w:sz w:val="70"/>
        </w:rPr>
        <w:t>Muntajaa</w:t>
      </w:r>
    </w:p>
    <w:p>
      <w:r>
        <w:rPr>
          <w:rFonts w:ascii="Arial" w:hAnsi="Arial"/>
          <w:b/>
          <w:color w:val="2F7868"/>
          <w:sz w:val="44"/>
        </w:rPr>
        <w:t>Marketplace Cost Plan</w:t>
      </w:r>
    </w:p>
    <w:p>
      <w:pPr>
        <w:pBdr>
          <w:bottom w:val="single" w:sz="16" w:space="7" w:color="1E2B33"/>
        </w:pBdr>
      </w:pPr>
      <w:r>
        <w:rPr>
          <w:color w:val="626C72"/>
          <w:sz w:val="28"/>
        </w:rPr>
        <w:t>Build and Phase 2 Budget</w:t>
      </w:r>
    </w:p>
    <w:tbl>
      <w:tblPr>
        <w:tblW w:type="auto" w:w="0"/>
        <w:tblLayout w:type="fixed"/>
        <w:tblLook w:firstColumn="1" w:firstRow="1" w:lastColumn="0" w:lastRow="0" w:noHBand="0" w:noVBand="1" w:val="04A0"/>
      </w:tblPr>
      <w:tblGrid>
        <w:gridCol w:w="2721"/>
        <w:gridCol w:w="6520"/>
      </w:tblGrid>
      <w:tr>
        <w:tc>
          <w:tcPr>
            <w:tcW w:type="dxa" w:w="5100"/>
            <w:tcMar>
              <w:top w:w="65" w:type="dxa"/>
              <w:start w:w="0" w:type="dxa"/>
              <w:bottom w:w="65" w:type="dxa"/>
              <w:end w:w="0" w:type="dxa"/>
            </w:tcMar>
          </w:tcPr>
          <w:p>
            <w:r/>
            <w:r>
              <w:rPr>
                <w:b/>
                <w:color w:val="626C72"/>
                <w:sz w:val="16"/>
              </w:rPr>
              <w:t>VERSION</w:t>
            </w:r>
          </w:p>
        </w:tc>
        <w:tc>
          <w:tcPr>
            <w:tcW w:type="dxa" w:w="5100"/>
            <w:tcMar>
              <w:top w:w="65" w:type="dxa"/>
              <w:start w:w="0" w:type="dxa"/>
              <w:bottom w:w="65" w:type="dxa"/>
              <w:end w:w="0" w:type="dxa"/>
            </w:tcMar>
          </w:tcPr>
          <w:p>
            <w:r/>
            <w:r>
              <w:rPr>
                <w:b/>
                <w:color w:val="273137"/>
                <w:sz w:val="20"/>
              </w:rPr>
              <w:t>2.0</w:t>
            </w:r>
          </w:p>
        </w:tc>
      </w:tr>
      <w:tr>
        <w:tc>
          <w:tcPr>
            <w:tcW w:type="dxa" w:w="5100"/>
            <w:tcMar>
              <w:top w:w="65" w:type="dxa"/>
              <w:start w:w="0" w:type="dxa"/>
              <w:bottom w:w="65" w:type="dxa"/>
              <w:end w:w="0" w:type="dxa"/>
            </w:tcMar>
          </w:tcPr>
          <w:p>
            <w:r/>
            <w:r>
              <w:rPr>
                <w:b/>
                <w:color w:val="626C72"/>
                <w:sz w:val="16"/>
              </w:rPr>
              <w:t>STATUS</w:t>
            </w:r>
          </w:p>
        </w:tc>
        <w:tc>
          <w:tcPr>
            <w:tcW w:type="dxa" w:w="5100"/>
            <w:tcMar>
              <w:top w:w="65" w:type="dxa"/>
              <w:start w:w="0" w:type="dxa"/>
              <w:bottom w:w="65" w:type="dxa"/>
              <w:end w:w="0" w:type="dxa"/>
            </w:tcMar>
          </w:tcPr>
          <w:p>
            <w:r/>
            <w:r>
              <w:rPr>
                <w:b/>
                <w:color w:val="273137"/>
                <w:sz w:val="20"/>
              </w:rPr>
              <w:t>Draft for budget review</w:t>
            </w:r>
          </w:p>
        </w:tc>
      </w:tr>
      <w:tr>
        <w:tc>
          <w:tcPr>
            <w:tcW w:type="dxa" w:w="5100"/>
            <w:tcMar>
              <w:top w:w="65" w:type="dxa"/>
              <w:start w:w="0" w:type="dxa"/>
              <w:bottom w:w="65" w:type="dxa"/>
              <w:end w:w="0" w:type="dxa"/>
            </w:tcMar>
          </w:tcPr>
          <w:p>
            <w:r/>
            <w:r>
              <w:rPr>
                <w:b/>
                <w:color w:val="626C72"/>
                <w:sz w:val="16"/>
              </w:rPr>
              <w:t>UPDATED</w:t>
            </w:r>
          </w:p>
        </w:tc>
        <w:tc>
          <w:tcPr>
            <w:tcW w:type="dxa" w:w="5100"/>
            <w:tcMar>
              <w:top w:w="65" w:type="dxa"/>
              <w:start w:w="0" w:type="dxa"/>
              <w:bottom w:w="65" w:type="dxa"/>
              <w:end w:w="0" w:type="dxa"/>
            </w:tcMar>
          </w:tcPr>
          <w:p>
            <w:r/>
            <w:r>
              <w:rPr>
                <w:b/>
                <w:color w:val="273137"/>
                <w:sz w:val="20"/>
              </w:rPr>
              <w:t>2 August 2026</w:t>
            </w:r>
          </w:p>
        </w:tc>
      </w:tr>
      <w:tr>
        <w:tc>
          <w:tcPr>
            <w:tcW w:type="dxa" w:w="5100"/>
            <w:tcMar>
              <w:top w:w="65" w:type="dxa"/>
              <w:start w:w="0" w:type="dxa"/>
              <w:bottom w:w="65" w:type="dxa"/>
              <w:end w:w="0" w:type="dxa"/>
            </w:tcMar>
          </w:tcPr>
          <w:p>
            <w:r/>
            <w:r>
              <w:rPr>
                <w:b/>
                <w:color w:val="626C72"/>
                <w:sz w:val="16"/>
              </w:rPr>
              <w:t>PREPARED BY</w:t>
            </w:r>
          </w:p>
        </w:tc>
        <w:tc>
          <w:tcPr>
            <w:tcW w:type="dxa" w:w="5100"/>
            <w:tcMar>
              <w:top w:w="65" w:type="dxa"/>
              <w:start w:w="0" w:type="dxa"/>
              <w:bottom w:w="65" w:type="dxa"/>
              <w:end w:w="0" w:type="dxa"/>
            </w:tcMar>
          </w:tcPr>
          <w:p>
            <w:r/>
            <w:r>
              <w:rPr>
                <w:b/>
                <w:color w:val="273137"/>
                <w:sz w:val="20"/>
              </w:rPr>
              <w:t>Zain El-Abidin Abo Gulel</w:t>
            </w:r>
          </w:p>
        </w:tc>
      </w:tr>
      <w:tr>
        <w:tc>
          <w:tcPr>
            <w:tcW w:type="dxa" w:w="5100"/>
            <w:tcMar>
              <w:top w:w="65" w:type="dxa"/>
              <w:start w:w="0" w:type="dxa"/>
              <w:bottom w:w="65" w:type="dxa"/>
              <w:end w:w="0" w:type="dxa"/>
            </w:tcMar>
          </w:tcPr>
          <w:p>
            <w:r/>
            <w:r>
              <w:rPr>
                <w:b/>
                <w:color w:val="626C72"/>
                <w:sz w:val="16"/>
              </w:rPr>
              <w:t>DECISION OWNER</w:t>
            </w:r>
          </w:p>
        </w:tc>
        <w:tc>
          <w:tcPr>
            <w:tcW w:type="dxa" w:w="5100"/>
            <w:tcMar>
              <w:top w:w="65" w:type="dxa"/>
              <w:start w:w="0" w:type="dxa"/>
              <w:bottom w:w="65" w:type="dxa"/>
              <w:end w:w="0" w:type="dxa"/>
            </w:tcMar>
          </w:tcPr>
          <w:p>
            <w:r/>
            <w:r>
              <w:rPr>
                <w:b/>
                <w:color w:val="273137"/>
                <w:sz w:val="20"/>
              </w:rPr>
              <w:t>Yasir</w:t>
            </w:r>
          </w:p>
        </w:tc>
      </w:tr>
    </w:tbl>
    <w:tbl>
      <w:tblPr>
        <w:tblW w:type="auto" w:w="0"/>
        <w:jc w:val="center"/>
        <w:tblLook w:firstColumn="1" w:firstRow="1" w:lastColumn="0" w:lastRow="0" w:noHBand="0" w:noVBand="1" w:val="04A0"/>
      </w:tblPr>
      <w:tblGrid>
        <w:gridCol w:w="10200"/>
      </w:tblGrid>
      <w:tr>
        <w:tc>
          <w:tcPr>
            <w:tcW w:type="dxa" w:w="10200"/>
            <w:shd w:fill="F3F5F5"/>
            <w:tcMar>
              <w:top w:w="130" w:type="dxa"/>
              <w:start w:w="150" w:type="dxa"/>
              <w:bottom w:w="130" w:type="dxa"/>
              <w:end w:w="150" w:type="dxa"/>
            </w:tcMar>
          </w:tcPr>
          <w:p>
            <w:r>
              <w:rPr>
                <w:rFonts w:ascii="Arial" w:hAnsi="Arial"/>
                <w:b/>
                <w:color w:val="273137"/>
                <w:sz w:val="19"/>
              </w:rPr>
              <w:t>Planning basis.</w:t>
            </w:r>
            <w:r>
              <w:rPr>
                <w:rFonts w:ascii="Arial" w:hAnsi="Arial"/>
                <w:color w:val="273137"/>
                <w:sz w:val="19"/>
              </w:rPr>
              <w:t xml:space="preserve"> The £4,000 monthly development fee is separate from the software-stack allowance. TBC items are not zero and require quotations or advice before purchase.</w:t>
            </w:r>
          </w:p>
        </w:tc>
      </w:tr>
    </w:tbl>
    <w:p>
      <w:pPr>
        <w:spacing w:before="280"/>
      </w:pPr>
      <w:r>
        <w:rPr>
          <w:b/>
          <w:color w:val="273137"/>
          <w:sz w:val="16"/>
        </w:rPr>
        <w:t>CONTENTS</w:t>
      </w:r>
    </w:p>
    <w:p>
      <w:pPr>
        <w:spacing w:after="20"/>
        <w:ind w:left="198" w:hanging="142"/>
      </w:pPr>
      <w:r>
        <w:rPr>
          <w:rFonts w:ascii="Arial" w:hAnsi="Arial"/>
          <w:color w:val="273137"/>
          <w:sz w:val="19"/>
        </w:rPr>
        <w:t>▪  Cost Plan at a Glance</w:t>
      </w:r>
    </w:p>
    <w:p>
      <w:pPr>
        <w:spacing w:after="20"/>
        <w:ind w:left="198" w:hanging="142"/>
      </w:pPr>
      <w:r>
        <w:rPr>
          <w:rFonts w:ascii="Arial" w:hAnsi="Arial"/>
          <w:color w:val="273137"/>
          <w:sz w:val="19"/>
        </w:rPr>
        <w:t>▪  Phase 1 Build and Web Launch</w:t>
      </w:r>
    </w:p>
    <w:p>
      <w:pPr>
        <w:spacing w:after="20"/>
        <w:ind w:left="198" w:hanging="142"/>
      </w:pPr>
      <w:r>
        <w:rPr>
          <w:rFonts w:ascii="Arial" w:hAnsi="Arial"/>
          <w:color w:val="273137"/>
          <w:sz w:val="19"/>
        </w:rPr>
        <w:t>▪  Payments and Marketplace Operations</w:t>
      </w:r>
    </w:p>
    <w:p>
      <w:pPr>
        <w:spacing w:after="20"/>
        <w:ind w:left="198" w:hanging="142"/>
      </w:pPr>
      <w:r>
        <w:rPr>
          <w:rFonts w:ascii="Arial" w:hAnsi="Arial"/>
          <w:color w:val="273137"/>
          <w:sz w:val="19"/>
        </w:rPr>
        <w:t>▪  Phase 2 Native Applications</w:t>
      </w:r>
    </w:p>
    <w:p>
      <w:pPr>
        <w:spacing w:after="20"/>
        <w:ind w:left="198" w:hanging="142"/>
      </w:pPr>
      <w:r>
        <w:rPr>
          <w:rFonts w:ascii="Arial" w:hAnsi="Arial"/>
          <w:color w:val="273137"/>
          <w:sz w:val="19"/>
        </w:rPr>
        <w:t>▪  Decisions Required Before Spending</w:t>
      </w:r>
    </w:p>
    <w:p>
      <w:pPr>
        <w:spacing w:after="20"/>
        <w:ind w:left="198" w:hanging="142"/>
      </w:pPr>
      <w:r>
        <w:rPr>
          <w:rFonts w:ascii="Arial" w:hAnsi="Arial"/>
          <w:color w:val="273137"/>
          <w:sz w:val="19"/>
        </w:rPr>
        <w:t>▪  Budget Acknowledgement</w:t>
      </w:r>
    </w:p>
    <w:p>
      <w:pPr>
        <w:spacing w:after="20"/>
        <w:ind w:left="198" w:hanging="142"/>
      </w:pPr>
      <w:r>
        <w:rPr>
          <w:rFonts w:ascii="Arial" w:hAnsi="Arial"/>
          <w:color w:val="273137"/>
          <w:sz w:val="19"/>
        </w:rPr>
        <w:t>▪  Pricing and Research Basis</w:t>
      </w:r>
    </w:p>
    <w:p>
      <w:r>
        <w:br w:type="page"/>
      </w:r>
    </w:p>
    <w:tbl>
      <w:tblPr>
        <w:tblW w:type="auto" w:w="0"/>
        <w:tblLook w:firstColumn="1" w:firstRow="1" w:lastColumn="0" w:lastRow="0" w:noHBand="0" w:noVBand="1" w:val="04A0"/>
      </w:tblPr>
      <w:tblGrid>
        <w:gridCol w:w="10200"/>
      </w:tblGrid>
      <w:tr>
        <w:tc>
          <w:tcPr>
            <w:tcW w:type="dxa" w:w="10200"/>
            <w:shd w:fill="F3F5F5"/>
            <w:tcMar>
              <w:top w:w="110" w:type="dxa"/>
              <w:start w:w="140" w:type="dxa"/>
              <w:bottom w:w="110" w:type="dxa"/>
              <w:end w:w="140" w:type="dxa"/>
            </w:tcMar>
          </w:tcPr>
          <w:p>
            <w:r>
              <w:rPr>
                <w:rFonts w:ascii="Arial" w:hAnsi="Arial"/>
                <w:b/>
                <w:color w:val="273137"/>
                <w:sz w:val="19"/>
              </w:rPr>
              <w:t>Purpose.</w:t>
            </w:r>
            <w:r>
              <w:rPr>
                <w:rFonts w:ascii="Arial" w:hAnsi="Arial"/>
                <w:color w:val="273137"/>
                <w:sz w:val="19"/>
              </w:rPr>
              <w:t xml:space="preserve"> This document explains the current cost assumptions for building and launching Muntajaa. It separates expected costs, optional choices, usage-based charges and items still requiring quotations. It is a planning document, not a fixed-price supplier quote.</w:t>
            </w:r>
          </w:p>
        </w:tc>
      </w:tr>
    </w:tbl>
    <w:tbl>
      <w:tblPr>
        <w:tblW w:type="auto" w:w="0"/>
        <w:tblLook w:firstColumn="1" w:firstRow="1" w:lastColumn="0" w:lastRow="0" w:noHBand="0" w:noVBand="1" w:val="04A0"/>
      </w:tblPr>
      <w:tblGrid>
        <w:gridCol w:w="10200"/>
      </w:tblGrid>
      <w:tr>
        <w:tc>
          <w:tcPr>
            <w:tcW w:type="dxa" w:w="10200"/>
            <w:shd w:fill="F3F5F5"/>
            <w:tcMar>
              <w:top w:w="110" w:type="dxa"/>
              <w:start w:w="140" w:type="dxa"/>
              <w:bottom w:w="110" w:type="dxa"/>
              <w:end w:w="140" w:type="dxa"/>
            </w:tcMar>
          </w:tcPr>
          <w:p>
            <w:r>
              <w:rPr>
                <w:rFonts w:ascii="Arial" w:hAnsi="Arial"/>
                <w:b/>
                <w:color w:val="273137"/>
                <w:sz w:val="19"/>
              </w:rPr>
              <w:t>How to read the totals.</w:t>
            </w:r>
            <w:r>
              <w:rPr>
                <w:rFonts w:ascii="Arial" w:hAnsi="Arial"/>
                <w:color w:val="273137"/>
                <w:sz w:val="19"/>
              </w:rPr>
              <w:t xml:space="preserve"> The £4,000 monthly figure is development and project management. The software-stack total is separate. Pound, dollar and Iraqi dinar amounts are kept separate rather than converted using a temporary exchange rate.</w:t>
            </w:r>
          </w:p>
        </w:tc>
      </w:tr>
    </w:tbl>
    <w:p>
      <w:pPr>
        <w:pStyle w:val="Heading1"/>
        <w:pBdr>
          <w:bottom w:val="single" w:sz="10" w:space="7" w:color="2F7868"/>
        </w:pBdr>
      </w:pPr>
      <w:r>
        <w:t>1. Cost plan at a glance</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3400"/>
            <w:shd w:fill="1E2B33"/>
            <w:tcMar>
              <w:top w:w="105" w:type="dxa"/>
              <w:start w:w="120" w:type="dxa"/>
              <w:bottom w:w="105" w:type="dxa"/>
              <w:end w:w="120" w:type="dxa"/>
            </w:tcMar>
            <w:vAlign w:val="center"/>
          </w:tcPr>
          <w:p>
            <w:r>
              <w:rPr>
                <w:b/>
              </w:rPr>
            </w:r>
            <w:r>
              <w:rPr>
                <w:rFonts w:ascii="Arial" w:hAnsi="Arial"/>
                <w:b/>
                <w:color w:val="FFFFFF"/>
                <w:sz w:val="19"/>
              </w:rPr>
              <w:t>Budget area</w:t>
            </w:r>
          </w:p>
        </w:tc>
        <w:tc>
          <w:tcPr>
            <w:tcW w:type="dxa" w:w="3400"/>
            <w:shd w:fill="1E2B33"/>
            <w:tcMar>
              <w:top w:w="105" w:type="dxa"/>
              <w:start w:w="120" w:type="dxa"/>
              <w:bottom w:w="105" w:type="dxa"/>
              <w:end w:w="120" w:type="dxa"/>
            </w:tcMar>
            <w:vAlign w:val="center"/>
          </w:tcPr>
          <w:p>
            <w:r>
              <w:rPr>
                <w:b/>
              </w:rPr>
            </w:r>
            <w:r>
              <w:rPr>
                <w:rFonts w:ascii="Arial" w:hAnsi="Arial"/>
                <w:b/>
                <w:color w:val="FFFFFF"/>
                <w:sz w:val="19"/>
              </w:rPr>
              <w:t>Current working allowance</w:t>
            </w:r>
          </w:p>
        </w:tc>
        <w:tc>
          <w:tcPr>
            <w:tcW w:type="dxa" w:w="3400"/>
            <w:shd w:fill="1E2B33"/>
            <w:tcMar>
              <w:top w:w="105" w:type="dxa"/>
              <w:start w:w="120" w:type="dxa"/>
              <w:bottom w:w="105" w:type="dxa"/>
              <w:end w:w="120" w:type="dxa"/>
            </w:tcMar>
            <w:vAlign w:val="center"/>
          </w:tcPr>
          <w:p>
            <w:r>
              <w:rPr>
                <w:b/>
              </w:rPr>
            </w:r>
            <w:r>
              <w:rPr>
                <w:rFonts w:ascii="Arial" w:hAnsi="Arial"/>
                <w:b/>
                <w:color w:val="FFFFFF"/>
                <w:sz w:val="19"/>
              </w:rPr>
              <w:t>Treatment</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Development and project management</w:t>
            </w:r>
          </w:p>
        </w:tc>
        <w:tc>
          <w:tcPr>
            <w:tcW w:type="dxa" w:w="3175"/>
            <w:shd w:fill="FFFFFF"/>
            <w:tcMar>
              <w:top w:w="110" w:type="dxa"/>
              <w:start w:w="120" w:type="dxa"/>
              <w:bottom w:w="110" w:type="dxa"/>
              <w:end w:w="120" w:type="dxa"/>
            </w:tcMar>
            <w:vAlign w:val="top"/>
          </w:tcPr>
          <w:p>
            <w:r/>
            <w:r>
              <w:rPr>
                <w:rFonts w:ascii="Arial" w:hAnsi="Arial"/>
                <w:b/>
                <w:color w:val="273137"/>
                <w:sz w:val="18"/>
              </w:rPr>
              <w:t>£4,000 per month</w:t>
            </w:r>
          </w:p>
        </w:tc>
        <w:tc>
          <w:tcPr>
            <w:tcW w:type="dxa" w:w="3175"/>
            <w:shd w:fill="FFFFFF"/>
            <w:tcMar>
              <w:top w:w="110" w:type="dxa"/>
              <w:start w:w="120" w:type="dxa"/>
              <w:bottom w:w="110" w:type="dxa"/>
              <w:end w:w="120" w:type="dxa"/>
            </w:tcMar>
            <w:vAlign w:val="top"/>
          </w:tcPr>
          <w:p>
            <w:r/>
            <w:r>
              <w:rPr>
                <w:rFonts w:ascii="Arial" w:hAnsi="Arial"/>
                <w:color w:val="273137"/>
                <w:sz w:val="18"/>
              </w:rPr>
              <w:t>Continues while active development is required</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Phase 1 software stack</w:t>
            </w:r>
          </w:p>
        </w:tc>
        <w:tc>
          <w:tcPr>
            <w:tcW w:type="dxa" w:w="3175"/>
            <w:shd w:fill="F3F5F5"/>
            <w:tcMar>
              <w:top w:w="110" w:type="dxa"/>
              <w:start w:w="120" w:type="dxa"/>
              <w:bottom w:w="110" w:type="dxa"/>
              <w:end w:w="120" w:type="dxa"/>
            </w:tcMar>
            <w:vAlign w:val="top"/>
          </w:tcPr>
          <w:p>
            <w:r/>
            <w:r>
              <w:rPr>
                <w:rFonts w:ascii="Arial" w:hAnsi="Arial"/>
                <w:b/>
                <w:color w:val="273137"/>
                <w:sz w:val="18"/>
              </w:rPr>
              <w:t>$294/month</w:t>
            </w:r>
          </w:p>
        </w:tc>
        <w:tc>
          <w:tcPr>
            <w:tcW w:type="dxa" w:w="3175"/>
            <w:shd w:fill="F3F5F5"/>
            <w:tcMar>
              <w:top w:w="110" w:type="dxa"/>
              <w:start w:w="120" w:type="dxa"/>
              <w:bottom w:w="110" w:type="dxa"/>
              <w:end w:w="120" w:type="dxa"/>
            </w:tcMar>
            <w:vAlign w:val="top"/>
          </w:tcPr>
          <w:p>
            <w:r/>
            <w:r>
              <w:rPr>
                <w:rFonts w:ascii="Arial" w:hAnsi="Arial"/>
                <w:color w:val="273137"/>
                <w:sz w:val="18"/>
              </w:rPr>
              <w:t>Cloudflare Workers, Supabase Pro, Codex, CodeRabbit Pro+ and one GitHub Team seat</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Phase 1 software stack using GitHub Free</w:t>
            </w:r>
          </w:p>
        </w:tc>
        <w:tc>
          <w:tcPr>
            <w:tcW w:type="dxa" w:w="3175"/>
            <w:shd w:fill="FFFFFF"/>
            <w:tcMar>
              <w:top w:w="110" w:type="dxa"/>
              <w:start w:w="120" w:type="dxa"/>
              <w:bottom w:w="110" w:type="dxa"/>
              <w:end w:w="120" w:type="dxa"/>
            </w:tcMar>
            <w:vAlign w:val="top"/>
          </w:tcPr>
          <w:p>
            <w:r/>
            <w:r>
              <w:rPr>
                <w:rFonts w:ascii="Arial" w:hAnsi="Arial"/>
                <w:b/>
                <w:color w:val="273137"/>
                <w:sz w:val="18"/>
              </w:rPr>
              <w:t>$290/month</w:t>
            </w:r>
          </w:p>
        </w:tc>
        <w:tc>
          <w:tcPr>
            <w:tcW w:type="dxa" w:w="3175"/>
            <w:shd w:fill="FFFFFF"/>
            <w:tcMar>
              <w:top w:w="110" w:type="dxa"/>
              <w:start w:w="120" w:type="dxa"/>
              <w:bottom w:w="110" w:type="dxa"/>
              <w:end w:w="120" w:type="dxa"/>
            </w:tcMar>
            <w:vAlign w:val="top"/>
          </w:tcPr>
          <w:p>
            <w:r/>
            <w:r>
              <w:rPr>
                <w:rFonts w:ascii="Arial" w:hAnsi="Arial"/>
                <w:color w:val="273137"/>
                <w:sz w:val="18"/>
              </w:rPr>
              <w:t>Valid if no paid GitHub Team feature is required</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Optional second GitHub Team seat</w:t>
            </w:r>
          </w:p>
        </w:tc>
        <w:tc>
          <w:tcPr>
            <w:tcW w:type="dxa" w:w="3175"/>
            <w:shd w:fill="F3F5F5"/>
            <w:tcMar>
              <w:top w:w="110" w:type="dxa"/>
              <w:start w:w="120" w:type="dxa"/>
              <w:bottom w:w="110" w:type="dxa"/>
              <w:end w:w="120" w:type="dxa"/>
            </w:tcMar>
            <w:vAlign w:val="top"/>
          </w:tcPr>
          <w:p>
            <w:r/>
            <w:r>
              <w:rPr>
                <w:rFonts w:ascii="Arial" w:hAnsi="Arial"/>
                <w:b/>
                <w:color w:val="273137"/>
                <w:sz w:val="18"/>
              </w:rPr>
              <w:t>+$4 per month</w:t>
            </w:r>
          </w:p>
        </w:tc>
        <w:tc>
          <w:tcPr>
            <w:tcW w:type="dxa" w:w="3175"/>
            <w:shd w:fill="F3F5F5"/>
            <w:tcMar>
              <w:top w:w="110" w:type="dxa"/>
              <w:start w:w="120" w:type="dxa"/>
              <w:bottom w:w="110" w:type="dxa"/>
              <w:end w:w="120" w:type="dxa"/>
            </w:tcMar>
            <w:vAlign w:val="top"/>
          </w:tcPr>
          <w:p>
            <w:r/>
            <w:r>
              <w:rPr>
                <w:rFonts w:ascii="Arial" w:hAnsi="Arial"/>
                <w:color w:val="273137"/>
                <w:sz w:val="18"/>
              </w:rPr>
              <w:t>Add only if Yasir needs a paid development seat</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Trademark protection</w:t>
            </w:r>
          </w:p>
        </w:tc>
        <w:tc>
          <w:tcPr>
            <w:tcW w:type="dxa" w:w="3175"/>
            <w:shd w:fill="FFFFFF"/>
            <w:tcMar>
              <w:top w:w="110" w:type="dxa"/>
              <w:start w:w="120" w:type="dxa"/>
              <w:bottom w:w="110" w:type="dxa"/>
              <w:end w:w="120" w:type="dxa"/>
            </w:tcMar>
            <w:vAlign w:val="top"/>
          </w:tcPr>
          <w:p>
            <w:r/>
            <w:r>
              <w:rPr>
                <w:rFonts w:ascii="Arial" w:hAnsi="Arial"/>
                <w:b/>
                <w:color w:val="273137"/>
                <w:sz w:val="18"/>
              </w:rPr>
              <w:t>2,100,000 IQD one time, approximately £1,200</w:t>
            </w:r>
          </w:p>
        </w:tc>
        <w:tc>
          <w:tcPr>
            <w:tcW w:type="dxa" w:w="3175"/>
            <w:shd w:fill="FFFFFF"/>
            <w:tcMar>
              <w:top w:w="110" w:type="dxa"/>
              <w:start w:w="120" w:type="dxa"/>
              <w:bottom w:w="110" w:type="dxa"/>
              <w:end w:w="120" w:type="dxa"/>
            </w:tcMar>
            <w:vAlign w:val="top"/>
          </w:tcPr>
          <w:p>
            <w:r/>
            <w:r>
              <w:rPr>
                <w:rFonts w:ascii="Arial" w:hAnsi="Arial"/>
                <w:color w:val="273137"/>
                <w:sz w:val="18"/>
              </w:rPr>
              <w:t>Provisional allowance for federal Iraq and the Kurdistan Region</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Booking payment processing</w:t>
            </w:r>
          </w:p>
        </w:tc>
        <w:tc>
          <w:tcPr>
            <w:tcW w:type="dxa" w:w="3175"/>
            <w:shd w:fill="F3F5F5"/>
            <w:tcMar>
              <w:top w:w="110" w:type="dxa"/>
              <w:start w:w="120" w:type="dxa"/>
              <w:bottom w:w="110" w:type="dxa"/>
              <w:end w:w="120" w:type="dxa"/>
            </w:tcMar>
            <w:vAlign w:val="top"/>
          </w:tcPr>
          <w:p>
            <w:r/>
            <w:r>
              <w:rPr>
                <w:rFonts w:ascii="Arial" w:hAnsi="Arial"/>
                <w:b/>
                <w:color w:val="273137"/>
                <w:sz w:val="18"/>
              </w:rPr>
              <w:t>TBC</w:t>
            </w:r>
          </w:p>
        </w:tc>
        <w:tc>
          <w:tcPr>
            <w:tcW w:type="dxa" w:w="3175"/>
            <w:shd w:fill="F3F5F5"/>
            <w:tcMar>
              <w:top w:w="110" w:type="dxa"/>
              <w:start w:w="120" w:type="dxa"/>
              <w:bottom w:w="110" w:type="dxa"/>
              <w:end w:w="120" w:type="dxa"/>
            </w:tcMar>
            <w:vAlign w:val="top"/>
          </w:tcPr>
          <w:p>
            <w:r/>
            <w:r>
              <w:rPr>
                <w:rFonts w:ascii="Arial" w:hAnsi="Arial"/>
                <w:color w:val="273137"/>
                <w:sz w:val="18"/>
              </w:rPr>
              <w:t>Obtain written provider pricing. A 1.5% scenario may be used for modelling only</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Customer booking service fee</w:t>
            </w:r>
          </w:p>
        </w:tc>
        <w:tc>
          <w:tcPr>
            <w:tcW w:type="dxa" w:w="3175"/>
            <w:shd w:fill="FFFFFF"/>
            <w:tcMar>
              <w:top w:w="110" w:type="dxa"/>
              <w:start w:w="120" w:type="dxa"/>
              <w:bottom w:w="110" w:type="dxa"/>
              <w:end w:w="120" w:type="dxa"/>
            </w:tcMar>
            <w:vAlign w:val="top"/>
          </w:tcPr>
          <w:p>
            <w:r/>
            <w:r>
              <w:rPr>
                <w:rFonts w:ascii="Arial" w:hAnsi="Arial"/>
                <w:b/>
                <w:color w:val="273137"/>
                <w:sz w:val="18"/>
              </w:rPr>
              <w:t>Proposed IQD 5,000 per paid booking</w:t>
            </w:r>
          </w:p>
        </w:tc>
        <w:tc>
          <w:tcPr>
            <w:tcW w:type="dxa" w:w="3175"/>
            <w:shd w:fill="FFFFFF"/>
            <w:tcMar>
              <w:top w:w="110" w:type="dxa"/>
              <w:start w:w="120" w:type="dxa"/>
              <w:bottom w:w="110" w:type="dxa"/>
              <w:end w:w="120" w:type="dxa"/>
            </w:tcMar>
            <w:vAlign w:val="top"/>
          </w:tcPr>
          <w:p>
            <w:r/>
            <w:r>
              <w:rPr>
                <w:rFonts w:ascii="Arial" w:hAnsi="Arial"/>
                <w:color w:val="273137"/>
                <w:sz w:val="18"/>
              </w:rPr>
              <w:t>RentCottage revenue assumption, not a gateway surcharge or operating cost</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Owner commission</w:t>
            </w:r>
          </w:p>
        </w:tc>
        <w:tc>
          <w:tcPr>
            <w:tcW w:type="dxa" w:w="3175"/>
            <w:shd w:fill="F3F5F5"/>
            <w:tcMar>
              <w:top w:w="110" w:type="dxa"/>
              <w:start w:w="120" w:type="dxa"/>
              <w:bottom w:w="110" w:type="dxa"/>
              <w:end w:w="120" w:type="dxa"/>
            </w:tcMar>
            <w:vAlign w:val="top"/>
          </w:tcPr>
          <w:p>
            <w:r/>
            <w:r>
              <w:rPr>
                <w:rFonts w:ascii="Arial" w:hAnsi="Arial"/>
                <w:b/>
                <w:color w:val="273137"/>
                <w:sz w:val="18"/>
              </w:rPr>
              <w:t>10% of the cottage booking price</w:t>
            </w:r>
          </w:p>
        </w:tc>
        <w:tc>
          <w:tcPr>
            <w:tcW w:type="dxa" w:w="3175"/>
            <w:shd w:fill="F3F5F5"/>
            <w:tcMar>
              <w:top w:w="110" w:type="dxa"/>
              <w:start w:w="120" w:type="dxa"/>
              <w:bottom w:w="110" w:type="dxa"/>
              <w:end w:w="120" w:type="dxa"/>
            </w:tcMar>
            <w:vAlign w:val="top"/>
          </w:tcPr>
          <w:p>
            <w:r/>
            <w:r>
              <w:rPr>
                <w:rFonts w:ascii="Arial" w:hAnsi="Arial"/>
                <w:color w:val="273137"/>
                <w:sz w:val="18"/>
              </w:rPr>
              <w:t>RentCottage revenue assumption, deducted from owner payout</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Phase 2 app-store accounts</w:t>
            </w:r>
          </w:p>
        </w:tc>
        <w:tc>
          <w:tcPr>
            <w:tcW w:type="dxa" w:w="3175"/>
            <w:shd w:fill="FFFFFF"/>
            <w:tcMar>
              <w:top w:w="110" w:type="dxa"/>
              <w:start w:w="120" w:type="dxa"/>
              <w:bottom w:w="110" w:type="dxa"/>
              <w:end w:w="120" w:type="dxa"/>
            </w:tcMar>
            <w:vAlign w:val="top"/>
          </w:tcPr>
          <w:p>
            <w:r/>
            <w:r>
              <w:rPr>
                <w:rFonts w:ascii="Arial" w:hAnsi="Arial"/>
                <w:b/>
                <w:color w:val="273137"/>
                <w:sz w:val="18"/>
              </w:rPr>
              <w:t>$124 in the first app year</w:t>
            </w:r>
          </w:p>
        </w:tc>
        <w:tc>
          <w:tcPr>
            <w:tcW w:type="dxa" w:w="3175"/>
            <w:shd w:fill="FFFFFF"/>
            <w:tcMar>
              <w:top w:w="110" w:type="dxa"/>
              <w:start w:w="120" w:type="dxa"/>
              <w:bottom w:w="110" w:type="dxa"/>
              <w:end w:w="120" w:type="dxa"/>
            </w:tcMar>
            <w:vAlign w:val="top"/>
          </w:tcPr>
          <w:p>
            <w:r/>
            <w:r>
              <w:rPr>
                <w:rFonts w:ascii="Arial" w:hAnsi="Arial"/>
                <w:color w:val="273137"/>
                <w:sz w:val="18"/>
              </w:rPr>
              <w:t>Apple $99 yearly plus Google Play $25 one time</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Costs awaiting quotations</w:t>
            </w:r>
          </w:p>
        </w:tc>
        <w:tc>
          <w:tcPr>
            <w:tcW w:type="dxa" w:w="3175"/>
            <w:shd w:fill="F3F5F5"/>
            <w:tcMar>
              <w:top w:w="110" w:type="dxa"/>
              <w:start w:w="120" w:type="dxa"/>
              <w:bottom w:w="110" w:type="dxa"/>
              <w:end w:w="120" w:type="dxa"/>
            </w:tcMar>
            <w:vAlign w:val="top"/>
          </w:tcPr>
          <w:p>
            <w:r/>
            <w:r>
              <w:rPr>
                <w:rFonts w:ascii="Arial" w:hAnsi="Arial"/>
                <w:b/>
                <w:color w:val="273137"/>
                <w:sz w:val="18"/>
              </w:rPr>
              <w:t>TBC</w:t>
            </w:r>
          </w:p>
        </w:tc>
        <w:tc>
          <w:tcPr>
            <w:tcW w:type="dxa" w:w="3175"/>
            <w:shd w:fill="F3F5F5"/>
            <w:tcMar>
              <w:top w:w="110" w:type="dxa"/>
              <w:start w:w="120" w:type="dxa"/>
              <w:bottom w:w="110" w:type="dxa"/>
              <w:end w:w="120" w:type="dxa"/>
            </w:tcMar>
            <w:vAlign w:val="top"/>
          </w:tcPr>
          <w:p>
            <w:r/>
            <w:r>
              <w:rPr>
                <w:rFonts w:ascii="Arial" w:hAnsi="Arial"/>
                <w:color w:val="273137"/>
                <w:sz w:val="18"/>
              </w:rPr>
              <w:t>Not zero. Excluded until suppliers or advisers provide quotations</w:t>
            </w:r>
          </w:p>
        </w:tc>
      </w:tr>
    </w:tbl>
    <w:p>
      <w:pPr>
        <w:spacing w:after="20"/>
      </w:pPr>
    </w:p>
    <w:p>
      <w:pPr>
        <w:pStyle w:val="Heading1"/>
        <w:pageBreakBefore/>
        <w:pBdr>
          <w:bottom w:val="single" w:sz="10" w:space="7" w:color="2F7868"/>
        </w:pBdr>
      </w:pPr>
      <w:r>
        <w:t>2. Phase 1: Build and web launch</w:t>
      </w:r>
    </w:p>
    <w:p>
      <w:pPr>
        <w:pStyle w:val="Heading2"/>
      </w:pPr>
      <w:r>
        <w:t>2.1 Core monthly costs</w:t>
      </w:r>
    </w:p>
    <w:tbl>
      <w:tblPr>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2550"/>
            <w:shd w:fill="1E2B33"/>
            <w:tcMar>
              <w:top w:w="105" w:type="dxa"/>
              <w:start w:w="120" w:type="dxa"/>
              <w:bottom w:w="105" w:type="dxa"/>
              <w:end w:w="120" w:type="dxa"/>
            </w:tcMar>
            <w:vAlign w:val="center"/>
          </w:tcPr>
          <w:p>
            <w:r>
              <w:rPr>
                <w:b/>
              </w:rPr>
            </w:r>
            <w:r>
              <w:rPr>
                <w:rFonts w:ascii="Arial" w:hAnsi="Arial"/>
                <w:b/>
                <w:color w:val="FFFFFF"/>
                <w:sz w:val="19"/>
              </w:rPr>
              <w:t>Cost</w:t>
            </w:r>
          </w:p>
        </w:tc>
        <w:tc>
          <w:tcPr>
            <w:tcW w:type="dxa" w:w="2550"/>
            <w:shd w:fill="1E2B33"/>
            <w:tcMar>
              <w:top w:w="105" w:type="dxa"/>
              <w:start w:w="120" w:type="dxa"/>
              <w:bottom w:w="105" w:type="dxa"/>
              <w:end w:w="120" w:type="dxa"/>
            </w:tcMar>
            <w:vAlign w:val="center"/>
          </w:tcPr>
          <w:p>
            <w:r>
              <w:rPr>
                <w:b/>
              </w:rPr>
            </w:r>
            <w:r>
              <w:rPr>
                <w:rFonts w:ascii="Arial" w:hAnsi="Arial"/>
                <w:b/>
                <w:color w:val="FFFFFF"/>
                <w:sz w:val="19"/>
              </w:rPr>
              <w:t>Allowance</w:t>
            </w:r>
          </w:p>
        </w:tc>
        <w:tc>
          <w:tcPr>
            <w:tcW w:type="dxa" w:w="2550"/>
            <w:shd w:fill="1E2B33"/>
            <w:tcMar>
              <w:top w:w="105" w:type="dxa"/>
              <w:start w:w="120" w:type="dxa"/>
              <w:bottom w:w="105" w:type="dxa"/>
              <w:end w:w="120" w:type="dxa"/>
            </w:tcMar>
            <w:vAlign w:val="center"/>
          </w:tcPr>
          <w:p>
            <w:r>
              <w:rPr>
                <w:b/>
              </w:rPr>
            </w:r>
            <w:r>
              <w:rPr>
                <w:rFonts w:ascii="Arial" w:hAnsi="Arial"/>
                <w:b/>
                <w:color w:val="FFFFFF"/>
                <w:sz w:val="19"/>
              </w:rPr>
              <w:t>Status</w:t>
            </w:r>
          </w:p>
        </w:tc>
        <w:tc>
          <w:tcPr>
            <w:tcW w:type="dxa" w:w="2550"/>
            <w:shd w:fill="1E2B33"/>
            <w:tcMar>
              <w:top w:w="105" w:type="dxa"/>
              <w:start w:w="120" w:type="dxa"/>
              <w:bottom w:w="105" w:type="dxa"/>
              <w:end w:w="120" w:type="dxa"/>
            </w:tcMar>
            <w:vAlign w:val="center"/>
          </w:tcPr>
          <w:p>
            <w:r>
              <w:rPr>
                <w:b/>
              </w:rPr>
            </w:r>
            <w:r>
              <w:rPr>
                <w:rFonts w:ascii="Arial" w:hAnsi="Arial"/>
                <w:b/>
                <w:color w:val="FFFFFF"/>
                <w:sz w:val="19"/>
              </w:rPr>
              <w:t>What it covers</w:t>
            </w:r>
          </w:p>
        </w:tc>
      </w:tr>
      <w:tr>
        <w:trPr>
          <w:cantSplit/>
        </w:trPr>
        <w:tc>
          <w:tcPr>
            <w:tcW w:type="dxa" w:w="2381"/>
            <w:shd w:fill="FFFFFF"/>
            <w:tcMar>
              <w:top w:w="110" w:type="dxa"/>
              <w:start w:w="120" w:type="dxa"/>
              <w:bottom w:w="110" w:type="dxa"/>
              <w:end w:w="120" w:type="dxa"/>
            </w:tcMar>
            <w:vAlign w:val="top"/>
          </w:tcPr>
          <w:p>
            <w:r/>
            <w:r>
              <w:rPr>
                <w:rFonts w:ascii="Arial" w:hAnsi="Arial"/>
                <w:color w:val="273137"/>
                <w:sz w:val="18"/>
              </w:rPr>
              <w:t>Development and project management</w:t>
            </w:r>
          </w:p>
        </w:tc>
        <w:tc>
          <w:tcPr>
            <w:tcW w:type="dxa" w:w="2381"/>
            <w:shd w:fill="FFFFFF"/>
            <w:tcMar>
              <w:top w:w="110" w:type="dxa"/>
              <w:start w:w="120" w:type="dxa"/>
              <w:bottom w:w="110" w:type="dxa"/>
              <w:end w:w="120" w:type="dxa"/>
            </w:tcMar>
            <w:vAlign w:val="top"/>
          </w:tcPr>
          <w:p>
            <w:r/>
            <w:r>
              <w:rPr>
                <w:rFonts w:ascii="Arial" w:hAnsi="Arial"/>
                <w:b/>
                <w:color w:val="273137"/>
                <w:sz w:val="18"/>
              </w:rPr>
              <w:t>£4,000/month</w:t>
            </w:r>
          </w:p>
        </w:tc>
        <w:tc>
          <w:tcPr>
            <w:tcW w:type="dxa" w:w="2381"/>
            <w:shd w:fill="FFFFFF"/>
            <w:tcMar>
              <w:top w:w="110" w:type="dxa"/>
              <w:start w:w="120" w:type="dxa"/>
              <w:bottom w:w="110" w:type="dxa"/>
              <w:end w:w="120" w:type="dxa"/>
            </w:tcMar>
            <w:vAlign w:val="top"/>
          </w:tcPr>
          <w:p>
            <w:r/>
            <w:r>
              <w:rPr>
                <w:rFonts w:ascii="Arial" w:hAnsi="Arial"/>
                <w:color w:val="273137"/>
                <w:sz w:val="18"/>
              </w:rPr>
              <w:t>Confirmed</w:t>
            </w:r>
          </w:p>
        </w:tc>
        <w:tc>
          <w:tcPr>
            <w:tcW w:type="dxa" w:w="2381"/>
            <w:shd w:fill="FFFFFF"/>
            <w:tcMar>
              <w:top w:w="110" w:type="dxa"/>
              <w:start w:w="120" w:type="dxa"/>
              <w:bottom w:w="110" w:type="dxa"/>
              <w:end w:w="120" w:type="dxa"/>
            </w:tcMar>
            <w:vAlign w:val="top"/>
          </w:tcPr>
          <w:p>
            <w:r/>
            <w:r>
              <w:rPr>
                <w:rFonts w:ascii="Arial" w:hAnsi="Arial"/>
                <w:color w:val="273137"/>
                <w:sz w:val="18"/>
              </w:rPr>
              <w:t>Product management, engineering, testing, delivery and AI-assisted execution</w:t>
            </w:r>
          </w:p>
        </w:tc>
      </w:tr>
      <w:tr>
        <w:trPr>
          <w:cantSplit/>
        </w:trPr>
        <w:tc>
          <w:tcPr>
            <w:tcW w:type="dxa" w:w="2381"/>
            <w:shd w:fill="F3F5F5"/>
            <w:tcMar>
              <w:top w:w="110" w:type="dxa"/>
              <w:start w:w="120" w:type="dxa"/>
              <w:bottom w:w="110" w:type="dxa"/>
              <w:end w:w="120" w:type="dxa"/>
            </w:tcMar>
            <w:vAlign w:val="top"/>
          </w:tcPr>
          <w:p>
            <w:r/>
            <w:r>
              <w:rPr>
                <w:rFonts w:ascii="Arial" w:hAnsi="Arial"/>
                <w:color w:val="273137"/>
                <w:sz w:val="18"/>
              </w:rPr>
              <w:t>Codex</w:t>
            </w:r>
          </w:p>
        </w:tc>
        <w:tc>
          <w:tcPr>
            <w:tcW w:type="dxa" w:w="2381"/>
            <w:shd w:fill="F3F5F5"/>
            <w:tcMar>
              <w:top w:w="110" w:type="dxa"/>
              <w:start w:w="120" w:type="dxa"/>
              <w:bottom w:w="110" w:type="dxa"/>
              <w:end w:w="120" w:type="dxa"/>
            </w:tcMar>
            <w:vAlign w:val="top"/>
          </w:tcPr>
          <w:p>
            <w:r/>
            <w:r>
              <w:rPr>
                <w:rFonts w:ascii="Arial" w:hAnsi="Arial"/>
                <w:b/>
                <w:color w:val="273137"/>
                <w:sz w:val="18"/>
              </w:rPr>
              <w:t>$200/month</w:t>
            </w:r>
          </w:p>
        </w:tc>
        <w:tc>
          <w:tcPr>
            <w:tcW w:type="dxa" w:w="2381"/>
            <w:shd w:fill="F3F5F5"/>
            <w:tcMar>
              <w:top w:w="110" w:type="dxa"/>
              <w:start w:w="120" w:type="dxa"/>
              <w:bottom w:w="110" w:type="dxa"/>
              <w:end w:w="120" w:type="dxa"/>
            </w:tcMar>
            <w:vAlign w:val="top"/>
          </w:tcPr>
          <w:p>
            <w:r/>
            <w:r>
              <w:rPr>
                <w:rFonts w:ascii="Arial" w:hAnsi="Arial"/>
                <w:color w:val="273137"/>
                <w:sz w:val="18"/>
              </w:rPr>
              <w:t>Confirmed</w:t>
            </w:r>
          </w:p>
        </w:tc>
        <w:tc>
          <w:tcPr>
            <w:tcW w:type="dxa" w:w="2381"/>
            <w:shd w:fill="F3F5F5"/>
            <w:tcMar>
              <w:top w:w="110" w:type="dxa"/>
              <w:start w:w="120" w:type="dxa"/>
              <w:bottom w:w="110" w:type="dxa"/>
              <w:end w:w="120" w:type="dxa"/>
            </w:tcMar>
            <w:vAlign w:val="top"/>
          </w:tcPr>
          <w:p>
            <w:r/>
            <w:r>
              <w:rPr>
                <w:rFonts w:ascii="Arial" w:hAnsi="Arial"/>
                <w:color w:val="273137"/>
                <w:sz w:val="18"/>
              </w:rPr>
              <w:t>Primary AI development tool</w:t>
            </w:r>
          </w:p>
        </w:tc>
      </w:tr>
      <w:tr>
        <w:trPr>
          <w:cantSplit/>
        </w:trPr>
        <w:tc>
          <w:tcPr>
            <w:tcW w:type="dxa" w:w="2381"/>
            <w:shd w:fill="FFFFFF"/>
            <w:tcMar>
              <w:top w:w="110" w:type="dxa"/>
              <w:start w:w="120" w:type="dxa"/>
              <w:bottom w:w="110" w:type="dxa"/>
              <w:end w:w="120" w:type="dxa"/>
            </w:tcMar>
            <w:vAlign w:val="top"/>
          </w:tcPr>
          <w:p>
            <w:r/>
            <w:r>
              <w:rPr>
                <w:rFonts w:ascii="Arial" w:hAnsi="Arial"/>
                <w:color w:val="273137"/>
                <w:sz w:val="18"/>
              </w:rPr>
              <w:t>CodeRabbit Pro+</w:t>
            </w:r>
          </w:p>
        </w:tc>
        <w:tc>
          <w:tcPr>
            <w:tcW w:type="dxa" w:w="2381"/>
            <w:shd w:fill="FFFFFF"/>
            <w:tcMar>
              <w:top w:w="110" w:type="dxa"/>
              <w:start w:w="120" w:type="dxa"/>
              <w:bottom w:w="110" w:type="dxa"/>
              <w:end w:w="120" w:type="dxa"/>
            </w:tcMar>
            <w:vAlign w:val="top"/>
          </w:tcPr>
          <w:p>
            <w:r/>
            <w:r>
              <w:rPr>
                <w:rFonts w:ascii="Arial" w:hAnsi="Arial"/>
                <w:b/>
                <w:color w:val="273137"/>
                <w:sz w:val="18"/>
              </w:rPr>
              <w:t>$60/month</w:t>
            </w:r>
          </w:p>
        </w:tc>
        <w:tc>
          <w:tcPr>
            <w:tcW w:type="dxa" w:w="2381"/>
            <w:shd w:fill="FFFFFF"/>
            <w:tcMar>
              <w:top w:w="110" w:type="dxa"/>
              <w:start w:w="120" w:type="dxa"/>
              <w:bottom w:w="110" w:type="dxa"/>
              <w:end w:w="120" w:type="dxa"/>
            </w:tcMar>
            <w:vAlign w:val="top"/>
          </w:tcPr>
          <w:p>
            <w:r/>
            <w:r>
              <w:rPr>
                <w:rFonts w:ascii="Arial" w:hAnsi="Arial"/>
                <w:color w:val="273137"/>
                <w:sz w:val="18"/>
              </w:rPr>
              <w:t>Confirmed</w:t>
            </w:r>
          </w:p>
        </w:tc>
        <w:tc>
          <w:tcPr>
            <w:tcW w:type="dxa" w:w="2381"/>
            <w:shd w:fill="FFFFFF"/>
            <w:tcMar>
              <w:top w:w="110" w:type="dxa"/>
              <w:start w:w="120" w:type="dxa"/>
              <w:bottom w:w="110" w:type="dxa"/>
              <w:end w:w="120" w:type="dxa"/>
            </w:tcMar>
            <w:vAlign w:val="top"/>
          </w:tcPr>
          <w:p>
            <w:r/>
            <w:r>
              <w:rPr>
                <w:rFonts w:ascii="Arial" w:hAnsi="Arial"/>
                <w:color w:val="273137"/>
                <w:sz w:val="18"/>
              </w:rPr>
              <w:t>Pro+ billed month-to-month for the initial trial</w:t>
            </w:r>
          </w:p>
        </w:tc>
      </w:tr>
      <w:tr>
        <w:trPr>
          <w:cantSplit/>
        </w:trPr>
        <w:tc>
          <w:tcPr>
            <w:tcW w:type="dxa" w:w="2381"/>
            <w:shd w:fill="F3F5F5"/>
            <w:tcMar>
              <w:top w:w="110" w:type="dxa"/>
              <w:start w:w="120" w:type="dxa"/>
              <w:bottom w:w="110" w:type="dxa"/>
              <w:end w:w="120" w:type="dxa"/>
            </w:tcMar>
            <w:vAlign w:val="top"/>
          </w:tcPr>
          <w:p>
            <w:r/>
            <w:r>
              <w:rPr>
                <w:rFonts w:ascii="Arial" w:hAnsi="Arial"/>
                <w:color w:val="273137"/>
                <w:sz w:val="18"/>
              </w:rPr>
              <w:t>Cloudflare Workers paid plan</w:t>
            </w:r>
          </w:p>
        </w:tc>
        <w:tc>
          <w:tcPr>
            <w:tcW w:type="dxa" w:w="2381"/>
            <w:shd w:fill="F3F5F5"/>
            <w:tcMar>
              <w:top w:w="110" w:type="dxa"/>
              <w:start w:w="120" w:type="dxa"/>
              <w:bottom w:w="110" w:type="dxa"/>
              <w:end w:w="120" w:type="dxa"/>
            </w:tcMar>
            <w:vAlign w:val="top"/>
          </w:tcPr>
          <w:p>
            <w:r/>
            <w:r>
              <w:rPr>
                <w:rFonts w:ascii="Arial" w:hAnsi="Arial"/>
                <w:b/>
                <w:color w:val="273137"/>
                <w:sz w:val="18"/>
              </w:rPr>
              <w:t>$5/month</w:t>
            </w:r>
          </w:p>
        </w:tc>
        <w:tc>
          <w:tcPr>
            <w:tcW w:type="dxa" w:w="2381"/>
            <w:shd w:fill="F3F5F5"/>
            <w:tcMar>
              <w:top w:w="110" w:type="dxa"/>
              <w:start w:w="120" w:type="dxa"/>
              <w:bottom w:w="110" w:type="dxa"/>
              <w:end w:w="120" w:type="dxa"/>
            </w:tcMar>
            <w:vAlign w:val="top"/>
          </w:tcPr>
          <w:p>
            <w:r/>
            <w:r>
              <w:rPr>
                <w:rFonts w:ascii="Arial" w:hAnsi="Arial"/>
                <w:color w:val="273137"/>
                <w:sz w:val="18"/>
              </w:rPr>
              <w:t>Approved baseline</w:t>
            </w:r>
          </w:p>
        </w:tc>
        <w:tc>
          <w:tcPr>
            <w:tcW w:type="dxa" w:w="2381"/>
            <w:shd w:fill="F3F5F5"/>
            <w:tcMar>
              <w:top w:w="110" w:type="dxa"/>
              <w:start w:w="120" w:type="dxa"/>
              <w:bottom w:w="110" w:type="dxa"/>
              <w:end w:w="120" w:type="dxa"/>
            </w:tcMar>
            <w:vAlign w:val="top"/>
          </w:tcPr>
          <w:p>
            <w:r/>
            <w:r>
              <w:rPr>
                <w:rFonts w:ascii="Arial" w:hAnsi="Arial"/>
                <w:color w:val="273137"/>
                <w:sz w:val="18"/>
              </w:rPr>
              <w:t>Hosting and server-side execution, subject to usage allowances</w:t>
            </w:r>
          </w:p>
        </w:tc>
      </w:tr>
      <w:tr>
        <w:trPr>
          <w:cantSplit/>
        </w:trPr>
        <w:tc>
          <w:tcPr>
            <w:tcW w:type="dxa" w:w="2381"/>
            <w:shd w:fill="FFFFFF"/>
            <w:tcMar>
              <w:top w:w="110" w:type="dxa"/>
              <w:start w:w="120" w:type="dxa"/>
              <w:bottom w:w="110" w:type="dxa"/>
              <w:end w:w="120" w:type="dxa"/>
            </w:tcMar>
            <w:vAlign w:val="top"/>
          </w:tcPr>
          <w:p>
            <w:r/>
            <w:r>
              <w:rPr>
                <w:rFonts w:ascii="Arial" w:hAnsi="Arial"/>
                <w:color w:val="273137"/>
                <w:sz w:val="18"/>
              </w:rPr>
              <w:t>Supabase Pro</w:t>
            </w:r>
          </w:p>
        </w:tc>
        <w:tc>
          <w:tcPr>
            <w:tcW w:type="dxa" w:w="2381"/>
            <w:shd w:fill="FFFFFF"/>
            <w:tcMar>
              <w:top w:w="110" w:type="dxa"/>
              <w:start w:w="120" w:type="dxa"/>
              <w:bottom w:w="110" w:type="dxa"/>
              <w:end w:w="120" w:type="dxa"/>
            </w:tcMar>
            <w:vAlign w:val="top"/>
          </w:tcPr>
          <w:p>
            <w:r/>
            <w:r>
              <w:rPr>
                <w:rFonts w:ascii="Arial" w:hAnsi="Arial"/>
                <w:b/>
                <w:color w:val="273137"/>
                <w:sz w:val="18"/>
              </w:rPr>
              <w:t>$25/month</w:t>
            </w:r>
          </w:p>
        </w:tc>
        <w:tc>
          <w:tcPr>
            <w:tcW w:type="dxa" w:w="2381"/>
            <w:shd w:fill="FFFFFF"/>
            <w:tcMar>
              <w:top w:w="110" w:type="dxa"/>
              <w:start w:w="120" w:type="dxa"/>
              <w:bottom w:w="110" w:type="dxa"/>
              <w:end w:w="120" w:type="dxa"/>
            </w:tcMar>
            <w:vAlign w:val="top"/>
          </w:tcPr>
          <w:p>
            <w:r/>
            <w:r>
              <w:rPr>
                <w:rFonts w:ascii="Arial" w:hAnsi="Arial"/>
                <w:color w:val="273137"/>
                <w:sz w:val="18"/>
              </w:rPr>
              <w:t>Approved baseline</w:t>
            </w:r>
          </w:p>
        </w:tc>
        <w:tc>
          <w:tcPr>
            <w:tcW w:type="dxa" w:w="2381"/>
            <w:shd w:fill="FFFFFF"/>
            <w:tcMar>
              <w:top w:w="110" w:type="dxa"/>
              <w:start w:w="120" w:type="dxa"/>
              <w:bottom w:w="110" w:type="dxa"/>
              <w:end w:w="120" w:type="dxa"/>
            </w:tcMar>
            <w:vAlign w:val="top"/>
          </w:tcPr>
          <w:p>
            <w:r/>
            <w:r>
              <w:rPr>
                <w:rFonts w:ascii="Arial" w:hAnsi="Arial"/>
                <w:color w:val="273137"/>
                <w:sz w:val="18"/>
              </w:rPr>
              <w:t>PostgreSQL database, authentication, storage and managed platform services</w:t>
            </w:r>
          </w:p>
        </w:tc>
      </w:tr>
      <w:tr>
        <w:trPr>
          <w:cantSplit/>
        </w:trPr>
        <w:tc>
          <w:tcPr>
            <w:tcW w:type="dxa" w:w="2381"/>
            <w:shd w:fill="F3F5F5"/>
            <w:tcMar>
              <w:top w:w="110" w:type="dxa"/>
              <w:start w:w="120" w:type="dxa"/>
              <w:bottom w:w="110" w:type="dxa"/>
              <w:end w:w="120" w:type="dxa"/>
            </w:tcMar>
            <w:vAlign w:val="top"/>
          </w:tcPr>
          <w:p>
            <w:r/>
            <w:r>
              <w:rPr>
                <w:rFonts w:ascii="Arial" w:hAnsi="Arial"/>
                <w:color w:val="273137"/>
                <w:sz w:val="18"/>
              </w:rPr>
              <w:t>GitHub Team</w:t>
            </w:r>
          </w:p>
        </w:tc>
        <w:tc>
          <w:tcPr>
            <w:tcW w:type="dxa" w:w="2381"/>
            <w:shd w:fill="F3F5F5"/>
            <w:tcMar>
              <w:top w:w="110" w:type="dxa"/>
              <w:start w:w="120" w:type="dxa"/>
              <w:bottom w:w="110" w:type="dxa"/>
              <w:end w:w="120" w:type="dxa"/>
            </w:tcMar>
            <w:vAlign w:val="top"/>
          </w:tcPr>
          <w:p>
            <w:r/>
            <w:r>
              <w:rPr>
                <w:rFonts w:ascii="Arial" w:hAnsi="Arial"/>
                <w:b/>
                <w:color w:val="273137"/>
                <w:sz w:val="18"/>
              </w:rPr>
              <w:t>$4/month</w:t>
            </w:r>
          </w:p>
        </w:tc>
        <w:tc>
          <w:tcPr>
            <w:tcW w:type="dxa" w:w="2381"/>
            <w:shd w:fill="F3F5F5"/>
            <w:tcMar>
              <w:top w:w="110" w:type="dxa"/>
              <w:start w:w="120" w:type="dxa"/>
              <w:bottom w:w="110" w:type="dxa"/>
              <w:end w:w="120" w:type="dxa"/>
            </w:tcMar>
            <w:vAlign w:val="top"/>
          </w:tcPr>
          <w:p>
            <w:r/>
            <w:r>
              <w:rPr>
                <w:rFonts w:ascii="Arial" w:hAnsi="Arial"/>
                <w:color w:val="273137"/>
                <w:sz w:val="18"/>
              </w:rPr>
              <w:t>Optional baseline allowance</w:t>
            </w:r>
          </w:p>
        </w:tc>
        <w:tc>
          <w:tcPr>
            <w:tcW w:type="dxa" w:w="2381"/>
            <w:shd w:fill="F3F5F5"/>
            <w:tcMar>
              <w:top w:w="110" w:type="dxa"/>
              <w:start w:w="120" w:type="dxa"/>
              <w:bottom w:w="110" w:type="dxa"/>
              <w:end w:w="120" w:type="dxa"/>
            </w:tcMar>
            <w:vAlign w:val="top"/>
          </w:tcPr>
          <w:p>
            <w:r/>
            <w:r>
              <w:rPr>
                <w:rFonts w:ascii="Arial" w:hAnsi="Arial"/>
                <w:color w:val="273137"/>
                <w:sz w:val="18"/>
              </w:rPr>
              <w:t>One organisation seat. GitHub Free remains suitable until a paid feature is needed</w:t>
            </w:r>
          </w:p>
        </w:tc>
      </w:tr>
      <w:tr>
        <w:trPr>
          <w:cantSplit/>
        </w:trPr>
        <w:tc>
          <w:tcPr>
            <w:tcW w:type="dxa" w:w="2381"/>
            <w:shd w:fill="FFFFFF"/>
            <w:tcMar>
              <w:top w:w="110" w:type="dxa"/>
              <w:start w:w="120" w:type="dxa"/>
              <w:bottom w:w="110" w:type="dxa"/>
              <w:end w:w="120" w:type="dxa"/>
            </w:tcMar>
            <w:vAlign w:val="top"/>
          </w:tcPr>
          <w:p>
            <w:r/>
            <w:r>
              <w:rPr>
                <w:rFonts w:ascii="Arial" w:hAnsi="Arial"/>
                <w:color w:val="273137"/>
                <w:sz w:val="18"/>
              </w:rPr>
              <w:t>Second GitHub Team seat</w:t>
            </w:r>
          </w:p>
        </w:tc>
        <w:tc>
          <w:tcPr>
            <w:tcW w:type="dxa" w:w="2381"/>
            <w:shd w:fill="FFFFFF"/>
            <w:tcMar>
              <w:top w:w="110" w:type="dxa"/>
              <w:start w:w="120" w:type="dxa"/>
              <w:bottom w:w="110" w:type="dxa"/>
              <w:end w:w="120" w:type="dxa"/>
            </w:tcMar>
            <w:vAlign w:val="top"/>
          </w:tcPr>
          <w:p>
            <w:r/>
            <w:r>
              <w:rPr>
                <w:rFonts w:ascii="Arial" w:hAnsi="Arial"/>
                <w:b/>
                <w:color w:val="273137"/>
                <w:sz w:val="18"/>
              </w:rPr>
              <w:t>+$4/month</w:t>
            </w:r>
          </w:p>
        </w:tc>
        <w:tc>
          <w:tcPr>
            <w:tcW w:type="dxa" w:w="2381"/>
            <w:shd w:fill="FFFFFF"/>
            <w:tcMar>
              <w:top w:w="110" w:type="dxa"/>
              <w:start w:w="120" w:type="dxa"/>
              <w:bottom w:w="110" w:type="dxa"/>
              <w:end w:w="120" w:type="dxa"/>
            </w:tcMar>
            <w:vAlign w:val="top"/>
          </w:tcPr>
          <w:p>
            <w:r/>
            <w:r>
              <w:rPr>
                <w:rFonts w:ascii="Arial" w:hAnsi="Arial"/>
                <w:color w:val="273137"/>
                <w:sz w:val="18"/>
              </w:rPr>
              <w:t>Optional</w:t>
            </w:r>
          </w:p>
        </w:tc>
        <w:tc>
          <w:tcPr>
            <w:tcW w:type="dxa" w:w="2381"/>
            <w:shd w:fill="FFFFFF"/>
            <w:tcMar>
              <w:top w:w="110" w:type="dxa"/>
              <w:start w:w="120" w:type="dxa"/>
              <w:bottom w:w="110" w:type="dxa"/>
              <w:end w:w="120" w:type="dxa"/>
            </w:tcMar>
            <w:vAlign w:val="top"/>
          </w:tcPr>
          <w:p>
            <w:r/>
            <w:r>
              <w:rPr>
                <w:rFonts w:ascii="Arial" w:hAnsi="Arial"/>
                <w:color w:val="273137"/>
                <w:sz w:val="18"/>
              </w:rPr>
              <w:t>Yasir's paid development seat, if required</w:t>
            </w:r>
          </w:p>
        </w:tc>
      </w:tr>
      <w:tr>
        <w:trPr>
          <w:cantSplit/>
        </w:trPr>
        <w:tc>
          <w:tcPr>
            <w:tcW w:type="dxa" w:w="2381"/>
            <w:shd w:fill="F3F5F5"/>
            <w:tcMar>
              <w:top w:w="110" w:type="dxa"/>
              <w:start w:w="120" w:type="dxa"/>
              <w:bottom w:w="110" w:type="dxa"/>
              <w:end w:w="120" w:type="dxa"/>
            </w:tcMar>
            <w:vAlign w:val="top"/>
          </w:tcPr>
          <w:p>
            <w:r/>
            <w:r>
              <w:rPr>
                <w:rFonts w:ascii="Arial" w:hAnsi="Arial"/>
                <w:color w:val="273137"/>
                <w:sz w:val="18"/>
              </w:rPr>
              <w:t>Customer support software</w:t>
            </w:r>
          </w:p>
        </w:tc>
        <w:tc>
          <w:tcPr>
            <w:tcW w:type="dxa" w:w="2381"/>
            <w:shd w:fill="F3F5F5"/>
            <w:tcMar>
              <w:top w:w="110" w:type="dxa"/>
              <w:start w:w="120" w:type="dxa"/>
              <w:bottom w:w="110" w:type="dxa"/>
              <w:end w:w="120" w:type="dxa"/>
            </w:tcMar>
            <w:vAlign w:val="top"/>
          </w:tcPr>
          <w:p>
            <w:r/>
            <w:r>
              <w:rPr>
                <w:rFonts w:ascii="Arial" w:hAnsi="Arial"/>
                <w:b/>
                <w:color w:val="273137"/>
                <w:sz w:val="18"/>
              </w:rPr>
              <w:t>$0 initially</w:t>
            </w:r>
          </w:p>
        </w:tc>
        <w:tc>
          <w:tcPr>
            <w:tcW w:type="dxa" w:w="2381"/>
            <w:shd w:fill="F3F5F5"/>
            <w:tcMar>
              <w:top w:w="110" w:type="dxa"/>
              <w:start w:w="120" w:type="dxa"/>
              <w:bottom w:w="110" w:type="dxa"/>
              <w:end w:w="120" w:type="dxa"/>
            </w:tcMar>
            <w:vAlign w:val="top"/>
          </w:tcPr>
          <w:p>
            <w:r/>
            <w:r>
              <w:rPr>
                <w:rFonts w:ascii="Arial" w:hAnsi="Arial"/>
                <w:color w:val="273137"/>
                <w:sz w:val="18"/>
              </w:rPr>
              <w:t>Working assumption</w:t>
            </w:r>
          </w:p>
        </w:tc>
        <w:tc>
          <w:tcPr>
            <w:tcW w:type="dxa" w:w="2381"/>
            <w:shd w:fill="F3F5F5"/>
            <w:tcMar>
              <w:top w:w="110" w:type="dxa"/>
              <w:start w:w="120" w:type="dxa"/>
              <w:bottom w:w="110" w:type="dxa"/>
              <w:end w:w="120" w:type="dxa"/>
            </w:tcMar>
            <w:vAlign w:val="top"/>
          </w:tcPr>
          <w:p>
            <w:r/>
            <w:r>
              <w:rPr>
                <w:rFonts w:ascii="Arial" w:hAnsi="Arial"/>
                <w:color w:val="273137"/>
                <w:sz w:val="18"/>
              </w:rPr>
              <w:t>Founder-managed support. Staff and helpdesk software remain TBC</w:t>
            </w:r>
          </w:p>
        </w:tc>
      </w:tr>
      <w:tr>
        <w:trPr>
          <w:cantSplit/>
        </w:trPr>
        <w:tc>
          <w:tcPr>
            <w:tcW w:type="dxa" w:w="2381"/>
            <w:shd w:fill="FFFFFF"/>
            <w:tcMar>
              <w:top w:w="110" w:type="dxa"/>
              <w:start w:w="120" w:type="dxa"/>
              <w:bottom w:w="110" w:type="dxa"/>
              <w:end w:w="120" w:type="dxa"/>
            </w:tcMar>
            <w:vAlign w:val="top"/>
          </w:tcPr>
          <w:p>
            <w:r/>
            <w:r>
              <w:rPr>
                <w:rFonts w:ascii="Arial" w:hAnsi="Arial"/>
                <w:color w:val="273137"/>
                <w:sz w:val="18"/>
              </w:rPr>
              <w:t>Push notifications</w:t>
            </w:r>
          </w:p>
        </w:tc>
        <w:tc>
          <w:tcPr>
            <w:tcW w:type="dxa" w:w="2381"/>
            <w:shd w:fill="FFFFFF"/>
            <w:tcMar>
              <w:top w:w="110" w:type="dxa"/>
              <w:start w:w="120" w:type="dxa"/>
              <w:bottom w:w="110" w:type="dxa"/>
              <w:end w:w="120" w:type="dxa"/>
            </w:tcMar>
            <w:vAlign w:val="top"/>
          </w:tcPr>
          <w:p>
            <w:r/>
            <w:r>
              <w:rPr>
                <w:rFonts w:ascii="Arial" w:hAnsi="Arial"/>
                <w:b/>
                <w:color w:val="273137"/>
                <w:sz w:val="18"/>
              </w:rPr>
              <w:t>$0 initially</w:t>
            </w:r>
          </w:p>
        </w:tc>
        <w:tc>
          <w:tcPr>
            <w:tcW w:type="dxa" w:w="2381"/>
            <w:shd w:fill="FFFFFF"/>
            <w:tcMar>
              <w:top w:w="110" w:type="dxa"/>
              <w:start w:w="120" w:type="dxa"/>
              <w:bottom w:w="110" w:type="dxa"/>
              <w:end w:w="120" w:type="dxa"/>
            </w:tcMar>
            <w:vAlign w:val="top"/>
          </w:tcPr>
          <w:p>
            <w:r/>
            <w:r>
              <w:rPr>
                <w:rFonts w:ascii="Arial" w:hAnsi="Arial"/>
                <w:color w:val="273137"/>
                <w:sz w:val="18"/>
              </w:rPr>
              <w:t>Working assumption</w:t>
            </w:r>
          </w:p>
        </w:tc>
        <w:tc>
          <w:tcPr>
            <w:tcW w:type="dxa" w:w="2381"/>
            <w:shd w:fill="FFFFFF"/>
            <w:tcMar>
              <w:top w:w="110" w:type="dxa"/>
              <w:start w:w="120" w:type="dxa"/>
              <w:bottom w:w="110" w:type="dxa"/>
              <w:end w:w="120" w:type="dxa"/>
            </w:tcMar>
            <w:vAlign w:val="top"/>
          </w:tcPr>
          <w:p>
            <w:r/>
            <w:r>
              <w:rPr>
                <w:rFonts w:ascii="Arial" w:hAnsi="Arial"/>
                <w:color w:val="273137"/>
                <w:sz w:val="18"/>
              </w:rPr>
              <w:t>Platform push services within normal launch usage</w:t>
            </w:r>
          </w:p>
        </w:tc>
      </w:tr>
      <w:tr>
        <w:trPr>
          <w:cantSplit/>
        </w:trPr>
        <w:tc>
          <w:tcPr>
            <w:tcW w:type="dxa" w:w="2381"/>
            <w:shd w:fill="F3F5F5"/>
            <w:tcMar>
              <w:top w:w="110" w:type="dxa"/>
              <w:start w:w="120" w:type="dxa"/>
              <w:bottom w:w="110" w:type="dxa"/>
              <w:end w:w="120" w:type="dxa"/>
            </w:tcMar>
            <w:vAlign w:val="top"/>
          </w:tcPr>
          <w:p>
            <w:r/>
            <w:r>
              <w:rPr>
                <w:rFonts w:ascii="Arial" w:hAnsi="Arial"/>
                <w:color w:val="273137"/>
                <w:sz w:val="18"/>
              </w:rPr>
              <w:t>Monitoring and security tools</w:t>
            </w:r>
          </w:p>
        </w:tc>
        <w:tc>
          <w:tcPr>
            <w:tcW w:type="dxa" w:w="2381"/>
            <w:shd w:fill="F3F5F5"/>
            <w:tcMar>
              <w:top w:w="110" w:type="dxa"/>
              <w:start w:w="120" w:type="dxa"/>
              <w:bottom w:w="110" w:type="dxa"/>
              <w:end w:w="120" w:type="dxa"/>
            </w:tcMar>
            <w:vAlign w:val="top"/>
          </w:tcPr>
          <w:p>
            <w:r/>
            <w:r>
              <w:rPr>
                <w:rFonts w:ascii="Arial" w:hAnsi="Arial"/>
                <w:b/>
                <w:color w:val="273137"/>
                <w:sz w:val="18"/>
              </w:rPr>
              <w:t>$0 initially</w:t>
            </w:r>
          </w:p>
        </w:tc>
        <w:tc>
          <w:tcPr>
            <w:tcW w:type="dxa" w:w="2381"/>
            <w:shd w:fill="F3F5F5"/>
            <w:tcMar>
              <w:top w:w="110" w:type="dxa"/>
              <w:start w:w="120" w:type="dxa"/>
              <w:bottom w:w="110" w:type="dxa"/>
              <w:end w:w="120" w:type="dxa"/>
            </w:tcMar>
            <w:vAlign w:val="top"/>
          </w:tcPr>
          <w:p>
            <w:r/>
            <w:r>
              <w:rPr>
                <w:rFonts w:ascii="Arial" w:hAnsi="Arial"/>
                <w:color w:val="273137"/>
                <w:sz w:val="18"/>
              </w:rPr>
              <w:t>Working assumption</w:t>
            </w:r>
          </w:p>
        </w:tc>
        <w:tc>
          <w:tcPr>
            <w:tcW w:type="dxa" w:w="2381"/>
            <w:shd w:fill="F3F5F5"/>
            <w:tcMar>
              <w:top w:w="110" w:type="dxa"/>
              <w:start w:w="120" w:type="dxa"/>
              <w:bottom w:w="110" w:type="dxa"/>
              <w:end w:w="120" w:type="dxa"/>
            </w:tcMar>
            <w:vAlign w:val="top"/>
          </w:tcPr>
          <w:p>
            <w:r/>
            <w:r>
              <w:rPr>
                <w:rFonts w:ascii="Arial" w:hAnsi="Arial"/>
                <w:color w:val="273137"/>
                <w:sz w:val="18"/>
              </w:rPr>
              <w:t>Free tiers and platform tooling at launch</w:t>
            </w:r>
          </w:p>
        </w:tc>
      </w:tr>
      <w:tr>
        <w:trPr>
          <w:cantSplit/>
        </w:trPr>
        <w:tc>
          <w:tcPr>
            <w:tcW w:type="dxa" w:w="2381"/>
            <w:shd w:fill="FFFFFF"/>
            <w:tcMar>
              <w:top w:w="110" w:type="dxa"/>
              <w:start w:w="120" w:type="dxa"/>
              <w:bottom w:w="110" w:type="dxa"/>
              <w:end w:w="120" w:type="dxa"/>
            </w:tcMar>
            <w:vAlign w:val="top"/>
          </w:tcPr>
          <w:p>
            <w:r/>
            <w:r>
              <w:rPr>
                <w:rFonts w:ascii="Arial" w:hAnsi="Arial"/>
                <w:color w:val="273137"/>
                <w:sz w:val="18"/>
              </w:rPr>
              <w:t>Static interface translation</w:t>
            </w:r>
          </w:p>
        </w:tc>
        <w:tc>
          <w:tcPr>
            <w:tcW w:type="dxa" w:w="2381"/>
            <w:shd w:fill="FFFFFF"/>
            <w:tcMar>
              <w:top w:w="110" w:type="dxa"/>
              <w:start w:w="120" w:type="dxa"/>
              <w:bottom w:w="110" w:type="dxa"/>
              <w:end w:w="120" w:type="dxa"/>
            </w:tcMar>
            <w:vAlign w:val="top"/>
          </w:tcPr>
          <w:p>
            <w:r/>
            <w:r>
              <w:rPr>
                <w:rFonts w:ascii="Arial" w:hAnsi="Arial"/>
                <w:b/>
                <w:color w:val="273137"/>
                <w:sz w:val="18"/>
              </w:rPr>
              <w:t>$0 additional</w:t>
            </w:r>
          </w:p>
        </w:tc>
        <w:tc>
          <w:tcPr>
            <w:tcW w:type="dxa" w:w="2381"/>
            <w:shd w:fill="FFFFFF"/>
            <w:tcMar>
              <w:top w:w="110" w:type="dxa"/>
              <w:start w:w="120" w:type="dxa"/>
              <w:bottom w:w="110" w:type="dxa"/>
              <w:end w:w="120" w:type="dxa"/>
            </w:tcMar>
            <w:vAlign w:val="top"/>
          </w:tcPr>
          <w:p>
            <w:r/>
            <w:r>
              <w:rPr>
                <w:rFonts w:ascii="Arial" w:hAnsi="Arial"/>
                <w:color w:val="273137"/>
                <w:sz w:val="18"/>
              </w:rPr>
              <w:t>Working assumption</w:t>
            </w:r>
          </w:p>
        </w:tc>
        <w:tc>
          <w:tcPr>
            <w:tcW w:type="dxa" w:w="2381"/>
            <w:shd w:fill="FFFFFF"/>
            <w:tcMar>
              <w:top w:w="110" w:type="dxa"/>
              <w:start w:w="120" w:type="dxa"/>
              <w:bottom w:w="110" w:type="dxa"/>
              <w:end w:w="120" w:type="dxa"/>
            </w:tcMar>
            <w:vAlign w:val="top"/>
          </w:tcPr>
          <w:p>
            <w:r/>
            <w:r>
              <w:rPr>
                <w:rFonts w:ascii="Arial" w:hAnsi="Arial"/>
                <w:color w:val="273137"/>
                <w:sz w:val="18"/>
              </w:rPr>
              <w:t>AI-assisted drafting with human review in Arabic, Sorani Kurdish and English</w:t>
            </w:r>
          </w:p>
        </w:tc>
      </w:tr>
      <w:tr>
        <w:trPr>
          <w:cantSplit/>
        </w:trPr>
        <w:tc>
          <w:tcPr>
            <w:tcW w:type="dxa" w:w="2381"/>
            <w:shd w:fill="F3F5F5"/>
            <w:tcMar>
              <w:top w:w="110" w:type="dxa"/>
              <w:start w:w="120" w:type="dxa"/>
              <w:bottom w:w="110" w:type="dxa"/>
              <w:end w:w="120" w:type="dxa"/>
            </w:tcMar>
            <w:vAlign w:val="top"/>
          </w:tcPr>
          <w:p>
            <w:r/>
            <w:r>
              <w:rPr>
                <w:rFonts w:ascii="Arial" w:hAnsi="Arial"/>
                <w:color w:val="273137"/>
                <w:sz w:val="18"/>
              </w:rPr>
              <w:t>Automatic content translation</w:t>
            </w:r>
          </w:p>
        </w:tc>
        <w:tc>
          <w:tcPr>
            <w:tcW w:type="dxa" w:w="2381"/>
            <w:shd w:fill="F3F5F5"/>
            <w:tcMar>
              <w:top w:w="110" w:type="dxa"/>
              <w:start w:w="120" w:type="dxa"/>
              <w:bottom w:w="110" w:type="dxa"/>
              <w:end w:w="120" w:type="dxa"/>
            </w:tcMar>
            <w:vAlign w:val="top"/>
          </w:tcPr>
          <w:p>
            <w:r/>
            <w:r>
              <w:rPr>
                <w:rFonts w:ascii="Arial" w:hAnsi="Arial"/>
                <w:b/>
                <w:color w:val="273137"/>
                <w:sz w:val="18"/>
              </w:rPr>
              <w:t>TBC usage</w:t>
            </w:r>
          </w:p>
        </w:tc>
        <w:tc>
          <w:tcPr>
            <w:tcW w:type="dxa" w:w="2381"/>
            <w:shd w:fill="F3F5F5"/>
            <w:tcMar>
              <w:top w:w="110" w:type="dxa"/>
              <w:start w:w="120" w:type="dxa"/>
              <w:bottom w:w="110" w:type="dxa"/>
              <w:end w:w="120" w:type="dxa"/>
            </w:tcMar>
            <w:vAlign w:val="top"/>
          </w:tcPr>
          <w:p>
            <w:r/>
            <w:r>
              <w:rPr>
                <w:rFonts w:ascii="Arial" w:hAnsi="Arial"/>
                <w:color w:val="273137"/>
                <w:sz w:val="18"/>
              </w:rPr>
              <w:t>Usage-based</w:t>
            </w:r>
          </w:p>
        </w:tc>
        <w:tc>
          <w:tcPr>
            <w:tcW w:type="dxa" w:w="2381"/>
            <w:shd w:fill="F3F5F5"/>
            <w:tcMar>
              <w:top w:w="110" w:type="dxa"/>
              <w:start w:w="120" w:type="dxa"/>
              <w:bottom w:w="110" w:type="dxa"/>
              <w:end w:w="120" w:type="dxa"/>
            </w:tcMar>
            <w:vAlign w:val="top"/>
          </w:tcPr>
          <w:p>
            <w:r/>
            <w:r>
              <w:rPr>
                <w:rFonts w:ascii="Arial" w:hAnsi="Arial"/>
                <w:color w:val="273137"/>
                <w:sz w:val="18"/>
              </w:rPr>
              <w:t xml:space="preserve">OpenAI </w:t>
            </w:r>
            <w:r>
              <w:rPr>
                <w:rFonts w:ascii="Courier New" w:hAnsi="Courier New"/>
                <w:color w:val="273137"/>
                <w:sz w:val="17"/>
              </w:rPr>
              <w:t>gpt-5.6-luna</w:t>
            </w:r>
            <w:r>
              <w:rPr>
                <w:rFonts w:ascii="Arial" w:hAnsi="Arial"/>
                <w:color w:val="273137"/>
                <w:sz w:val="18"/>
              </w:rPr>
              <w:t xml:space="preserve"> as the default behind a replaceable AI service, with stronger-model or human escalation</w:t>
            </w:r>
          </w:p>
        </w:tc>
      </w:tr>
    </w:tbl>
    <w:p>
      <w:pPr>
        <w:spacing w:after="20"/>
      </w:pPr>
    </w:p>
    <w:p>
      <w:pPr>
        <w:pStyle w:val="Heading2"/>
      </w:pPr>
      <w:r>
        <w:t>2.2 Approved infrastructure baseline</w:t>
      </w:r>
    </w:p>
    <w:p>
      <w:r>
        <w:rPr>
          <w:rFonts w:ascii="Arial" w:hAnsi="Arial"/>
          <w:color w:val="273137"/>
          <w:sz w:val="21"/>
        </w:rPr>
        <w:t xml:space="preserve">The approved delivery baseline is </w:t>
      </w:r>
      <w:r>
        <w:rPr>
          <w:rFonts w:ascii="Arial" w:hAnsi="Arial"/>
          <w:b/>
          <w:color w:val="273137"/>
          <w:sz w:val="21"/>
        </w:rPr>
        <w:t>Cloudflare Workers plus Supabase Pro</w:t>
      </w:r>
      <w:r>
        <w:rPr>
          <w:rFonts w:ascii="Arial" w:hAnsi="Arial"/>
          <w:color w:val="273137"/>
          <w:sz w:val="21"/>
        </w:rPr>
        <w:t xml:space="preserve"> at </w:t>
      </w:r>
      <w:r>
        <w:rPr>
          <w:rFonts w:ascii="Arial" w:hAnsi="Arial"/>
          <w:b/>
          <w:color w:val="273137"/>
          <w:sz w:val="21"/>
        </w:rPr>
        <w:t>$30 per month</w:t>
      </w:r>
      <w:r>
        <w:rPr>
          <w:rFonts w:ascii="Arial" w:hAnsi="Arial"/>
          <w:color w:val="273137"/>
          <w:sz w:val="21"/>
        </w:rPr>
        <w:t xml:space="preserve"> before development tooling. It combines low-cost hosting with PostgreSQL, authentication and private document storage. It replaces the earlier Cloudflare D1 and Vercel alternatives for MVP planning.</w:t>
      </w:r>
    </w:p>
    <w:p>
      <w:r>
        <w:rPr>
          <w:rFonts w:ascii="Arial" w:hAnsi="Arial"/>
          <w:color w:val="273137"/>
          <w:sz w:val="21"/>
        </w:rPr>
        <w:t>Cloudflare and Supabase overages remain usage-based. Spend alerts must be enabled before public launch.</w:t>
      </w:r>
    </w:p>
    <w:p>
      <w:pPr>
        <w:pStyle w:val="Heading2"/>
      </w:pPr>
      <w:r>
        <w:t>2.3 Usage-based services and safety controls</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3400"/>
            <w:shd w:fill="1E2B33"/>
            <w:tcMar>
              <w:top w:w="105" w:type="dxa"/>
              <w:start w:w="120" w:type="dxa"/>
              <w:bottom w:w="105" w:type="dxa"/>
              <w:end w:w="120" w:type="dxa"/>
            </w:tcMar>
            <w:vAlign w:val="center"/>
          </w:tcPr>
          <w:p>
            <w:r>
              <w:rPr>
                <w:b/>
              </w:rPr>
            </w:r>
            <w:r>
              <w:rPr>
                <w:rFonts w:ascii="Arial" w:hAnsi="Arial"/>
                <w:b/>
                <w:color w:val="FFFFFF"/>
                <w:sz w:val="19"/>
              </w:rPr>
              <w:t>Service</w:t>
            </w:r>
          </w:p>
        </w:tc>
        <w:tc>
          <w:tcPr>
            <w:tcW w:type="dxa" w:w="3400"/>
            <w:shd w:fill="1E2B33"/>
            <w:tcMar>
              <w:top w:w="105" w:type="dxa"/>
              <w:start w:w="120" w:type="dxa"/>
              <w:bottom w:w="105" w:type="dxa"/>
              <w:end w:w="120" w:type="dxa"/>
            </w:tcMar>
            <w:vAlign w:val="center"/>
          </w:tcPr>
          <w:p>
            <w:r>
              <w:rPr>
                <w:b/>
              </w:rPr>
            </w:r>
            <w:r>
              <w:rPr>
                <w:rFonts w:ascii="Arial" w:hAnsi="Arial"/>
                <w:b/>
                <w:color w:val="FFFFFF"/>
                <w:sz w:val="19"/>
              </w:rPr>
              <w:t>Launch expectation</w:t>
            </w:r>
          </w:p>
        </w:tc>
        <w:tc>
          <w:tcPr>
            <w:tcW w:type="dxa" w:w="3400"/>
            <w:shd w:fill="1E2B33"/>
            <w:tcMar>
              <w:top w:w="105" w:type="dxa"/>
              <w:start w:w="120" w:type="dxa"/>
              <w:bottom w:w="105" w:type="dxa"/>
              <w:end w:w="120" w:type="dxa"/>
            </w:tcMar>
            <w:vAlign w:val="center"/>
          </w:tcPr>
          <w:p>
            <w:r>
              <w:rPr>
                <w:b/>
              </w:rPr>
            </w:r>
            <w:r>
              <w:rPr>
                <w:rFonts w:ascii="Arial" w:hAnsi="Arial"/>
                <w:b/>
                <w:color w:val="FFFFFF"/>
                <w:sz w:val="19"/>
              </w:rPr>
              <w:t>Control</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GitHub Actions continuous integration</w:t>
            </w:r>
          </w:p>
        </w:tc>
        <w:tc>
          <w:tcPr>
            <w:tcW w:type="dxa" w:w="3175"/>
            <w:shd w:fill="FFFFFF"/>
            <w:tcMar>
              <w:top w:w="110" w:type="dxa"/>
              <w:start w:w="120" w:type="dxa"/>
              <w:bottom w:w="110" w:type="dxa"/>
              <w:end w:w="120" w:type="dxa"/>
            </w:tcMar>
            <w:vAlign w:val="top"/>
          </w:tcPr>
          <w:p>
            <w:r/>
            <w:r>
              <w:rPr>
                <w:rFonts w:ascii="Arial" w:hAnsi="Arial"/>
                <w:b/>
                <w:color w:val="273137"/>
                <w:sz w:val="18"/>
              </w:rPr>
              <w:t>Included initially</w:t>
            </w:r>
          </w:p>
        </w:tc>
        <w:tc>
          <w:tcPr>
            <w:tcW w:type="dxa" w:w="3175"/>
            <w:shd w:fill="FFFFFF"/>
            <w:tcMar>
              <w:top w:w="110" w:type="dxa"/>
              <w:start w:w="120" w:type="dxa"/>
              <w:bottom w:w="110" w:type="dxa"/>
              <w:end w:w="120" w:type="dxa"/>
            </w:tcMar>
            <w:vAlign w:val="top"/>
          </w:tcPr>
          <w:p>
            <w:r/>
            <w:r>
              <w:rPr>
                <w:rFonts w:ascii="Arial" w:hAnsi="Arial"/>
                <w:color w:val="273137"/>
                <w:sz w:val="18"/>
              </w:rPr>
              <w:t>Use repository allowances first and monitor actual runner demand</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Blacksmith continuous integration</w:t>
            </w:r>
          </w:p>
        </w:tc>
        <w:tc>
          <w:tcPr>
            <w:tcW w:type="dxa" w:w="3175"/>
            <w:shd w:fill="F3F5F5"/>
            <w:tcMar>
              <w:top w:w="110" w:type="dxa"/>
              <w:start w:w="120" w:type="dxa"/>
              <w:bottom w:w="110" w:type="dxa"/>
              <w:end w:w="120" w:type="dxa"/>
            </w:tcMar>
            <w:vAlign w:val="top"/>
          </w:tcPr>
          <w:p>
            <w:r/>
            <w:r>
              <w:rPr>
                <w:rFonts w:ascii="Arial" w:hAnsi="Arial"/>
                <w:b/>
                <w:color w:val="273137"/>
                <w:sz w:val="18"/>
              </w:rPr>
              <w:t>Deferred</w:t>
            </w:r>
          </w:p>
        </w:tc>
        <w:tc>
          <w:tcPr>
            <w:tcW w:type="dxa" w:w="3175"/>
            <w:shd w:fill="F3F5F5"/>
            <w:tcMar>
              <w:top w:w="110" w:type="dxa"/>
              <w:start w:w="120" w:type="dxa"/>
              <w:bottom w:w="110" w:type="dxa"/>
              <w:end w:w="120" w:type="dxa"/>
            </w:tcMar>
            <w:vAlign w:val="top"/>
          </w:tcPr>
          <w:p>
            <w:r/>
            <w:r>
              <w:rPr>
                <w:rFonts w:ascii="Arial" w:hAnsi="Arial"/>
                <w:color w:val="273137"/>
                <w:sz w:val="18"/>
              </w:rPr>
              <w:t>Consider only if measured demand makes a runner change worthwhile</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Google Maps and geocoding</w:t>
            </w:r>
          </w:p>
        </w:tc>
        <w:tc>
          <w:tcPr>
            <w:tcW w:type="dxa" w:w="3175"/>
            <w:shd w:fill="FFFFFF"/>
            <w:tcMar>
              <w:top w:w="110" w:type="dxa"/>
              <w:start w:w="120" w:type="dxa"/>
              <w:bottom w:w="110" w:type="dxa"/>
              <w:end w:w="120" w:type="dxa"/>
            </w:tcMar>
            <w:vAlign w:val="top"/>
          </w:tcPr>
          <w:p>
            <w:r/>
            <w:r>
              <w:rPr>
                <w:rFonts w:ascii="Arial" w:hAnsi="Arial"/>
                <w:b/>
                <w:color w:val="273137"/>
                <w:sz w:val="18"/>
              </w:rPr>
              <w:t>$0 initially</w:t>
            </w:r>
          </w:p>
        </w:tc>
        <w:tc>
          <w:tcPr>
            <w:tcW w:type="dxa" w:w="3175"/>
            <w:shd w:fill="FFFFFF"/>
            <w:tcMar>
              <w:top w:w="110" w:type="dxa"/>
              <w:start w:w="120" w:type="dxa"/>
              <w:bottom w:w="110" w:type="dxa"/>
              <w:end w:w="120" w:type="dxa"/>
            </w:tcMar>
            <w:vAlign w:val="top"/>
          </w:tcPr>
          <w:p>
            <w:r/>
            <w:r>
              <w:rPr>
                <w:rFonts w:ascii="Arial" w:hAnsi="Arial"/>
                <w:color w:val="273137"/>
                <w:sz w:val="18"/>
              </w:rPr>
              <w:t>Use free monthly thresholds and set a $50 billing alert</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Automatic translation</w:t>
            </w:r>
          </w:p>
        </w:tc>
        <w:tc>
          <w:tcPr>
            <w:tcW w:type="dxa" w:w="3175"/>
            <w:shd w:fill="F3F5F5"/>
            <w:tcMar>
              <w:top w:w="110" w:type="dxa"/>
              <w:start w:w="120" w:type="dxa"/>
              <w:bottom w:w="110" w:type="dxa"/>
              <w:end w:w="120" w:type="dxa"/>
            </w:tcMar>
            <w:vAlign w:val="top"/>
          </w:tcPr>
          <w:p>
            <w:r/>
            <w:r>
              <w:rPr>
                <w:rFonts w:ascii="Arial" w:hAnsi="Arial"/>
                <w:b/>
                <w:color w:val="273137"/>
                <w:sz w:val="18"/>
              </w:rPr>
              <w:t>TBC</w:t>
            </w:r>
          </w:p>
        </w:tc>
        <w:tc>
          <w:tcPr>
            <w:tcW w:type="dxa" w:w="3175"/>
            <w:shd w:fill="F3F5F5"/>
            <w:tcMar>
              <w:top w:w="110" w:type="dxa"/>
              <w:start w:w="120" w:type="dxa"/>
              <w:bottom w:w="110" w:type="dxa"/>
              <w:end w:w="120" w:type="dxa"/>
            </w:tcMar>
            <w:vAlign w:val="top"/>
          </w:tcPr>
          <w:p>
            <w:r/>
            <w:r>
              <w:rPr>
                <w:rFonts w:ascii="Arial" w:hAnsi="Arial"/>
                <w:color w:val="273137"/>
                <w:sz w:val="18"/>
              </w:rPr>
              <w:t xml:space="preserve">Measure </w:t>
            </w:r>
            <w:r>
              <w:rPr>
                <w:rFonts w:ascii="Courier New" w:hAnsi="Courier New"/>
                <w:color w:val="273137"/>
                <w:sz w:val="17"/>
              </w:rPr>
              <w:t>gpt-5.6-luna</w:t>
            </w:r>
            <w:r>
              <w:rPr>
                <w:rFonts w:ascii="Arial" w:hAnsi="Arial"/>
                <w:color w:val="273137"/>
                <w:sz w:val="18"/>
              </w:rPr>
              <w:t xml:space="preserve"> usage, cache repeat translations, and set per-request and monthly limits before launch</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Phone verification and urgent SMS</w:t>
            </w:r>
          </w:p>
        </w:tc>
        <w:tc>
          <w:tcPr>
            <w:tcW w:type="dxa" w:w="3175"/>
            <w:shd w:fill="FFFFFF"/>
            <w:tcMar>
              <w:top w:w="110" w:type="dxa"/>
              <w:start w:w="120" w:type="dxa"/>
              <w:bottom w:w="110" w:type="dxa"/>
              <w:end w:w="120" w:type="dxa"/>
            </w:tcMar>
            <w:vAlign w:val="top"/>
          </w:tcPr>
          <w:p>
            <w:r/>
            <w:r>
              <w:rPr>
                <w:rFonts w:ascii="Arial" w:hAnsi="Arial"/>
                <w:b/>
                <w:color w:val="273137"/>
                <w:sz w:val="18"/>
              </w:rPr>
              <w:t>TBC</w:t>
            </w:r>
          </w:p>
        </w:tc>
        <w:tc>
          <w:tcPr>
            <w:tcW w:type="dxa" w:w="3175"/>
            <w:shd w:fill="FFFFFF"/>
            <w:tcMar>
              <w:top w:w="110" w:type="dxa"/>
              <w:start w:w="120" w:type="dxa"/>
              <w:bottom w:w="110" w:type="dxa"/>
              <w:end w:w="120" w:type="dxa"/>
            </w:tcMar>
            <w:vAlign w:val="top"/>
          </w:tcPr>
          <w:p>
            <w:r/>
            <w:r>
              <w:rPr>
                <w:rFonts w:ascii="Arial" w:hAnsi="Arial"/>
                <w:color w:val="273137"/>
                <w:sz w:val="18"/>
              </w:rPr>
              <w:t>Confirm Iraqi delivery, sender requirements and unit pricing</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Hosting, database and storage overages</w:t>
            </w:r>
          </w:p>
        </w:tc>
        <w:tc>
          <w:tcPr>
            <w:tcW w:type="dxa" w:w="3175"/>
            <w:shd w:fill="F3F5F5"/>
            <w:tcMar>
              <w:top w:w="110" w:type="dxa"/>
              <w:start w:w="120" w:type="dxa"/>
              <w:bottom w:w="110" w:type="dxa"/>
              <w:end w:w="120" w:type="dxa"/>
            </w:tcMar>
            <w:vAlign w:val="top"/>
          </w:tcPr>
          <w:p>
            <w:r/>
            <w:r>
              <w:rPr>
                <w:rFonts w:ascii="Arial" w:hAnsi="Arial"/>
                <w:b/>
                <w:color w:val="273137"/>
                <w:sz w:val="18"/>
              </w:rPr>
              <w:t>TBC</w:t>
            </w:r>
          </w:p>
        </w:tc>
        <w:tc>
          <w:tcPr>
            <w:tcW w:type="dxa" w:w="3175"/>
            <w:shd w:fill="F3F5F5"/>
            <w:tcMar>
              <w:top w:w="110" w:type="dxa"/>
              <w:start w:w="120" w:type="dxa"/>
              <w:bottom w:w="110" w:type="dxa"/>
              <w:end w:w="120" w:type="dxa"/>
            </w:tcMar>
            <w:vAlign w:val="top"/>
          </w:tcPr>
          <w:p>
            <w:r/>
            <w:r>
              <w:rPr>
                <w:rFonts w:ascii="Arial" w:hAnsi="Arial"/>
                <w:color w:val="273137"/>
                <w:sz w:val="18"/>
              </w:rPr>
              <w:t>Enable provider spend alerts before public launch</w:t>
            </w:r>
          </w:p>
        </w:tc>
      </w:tr>
    </w:tbl>
    <w:p>
      <w:pPr>
        <w:spacing w:after="20"/>
      </w:pPr>
    </w:p>
    <w:p>
      <w:r>
        <w:rPr>
          <w:rFonts w:ascii="Arial" w:hAnsi="Arial"/>
          <w:color w:val="273137"/>
          <w:sz w:val="21"/>
        </w:rPr>
        <w:t>Safety caps and alerts are controls, not expected monthly bills. They are excluded from the headline total.</w:t>
      </w:r>
    </w:p>
    <w:p>
      <w:pPr>
        <w:pStyle w:val="Heading2"/>
      </w:pPr>
      <w:r>
        <w:t>2.4 Annual and one-off costs</w:t>
      </w:r>
    </w:p>
    <w:tbl>
      <w:tblPr>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2550"/>
            <w:shd w:fill="1E2B33"/>
            <w:tcMar>
              <w:top w:w="105" w:type="dxa"/>
              <w:start w:w="120" w:type="dxa"/>
              <w:bottom w:w="105" w:type="dxa"/>
              <w:end w:w="120" w:type="dxa"/>
            </w:tcMar>
            <w:vAlign w:val="center"/>
          </w:tcPr>
          <w:p>
            <w:r>
              <w:rPr>
                <w:b/>
              </w:rPr>
            </w:r>
            <w:r>
              <w:rPr>
                <w:rFonts w:ascii="Arial" w:hAnsi="Arial"/>
                <w:b/>
                <w:color w:val="FFFFFF"/>
                <w:sz w:val="19"/>
              </w:rPr>
              <w:t>Cost</w:t>
            </w:r>
          </w:p>
        </w:tc>
        <w:tc>
          <w:tcPr>
            <w:tcW w:type="dxa" w:w="2550"/>
            <w:shd w:fill="1E2B33"/>
            <w:tcMar>
              <w:top w:w="105" w:type="dxa"/>
              <w:start w:w="120" w:type="dxa"/>
              <w:bottom w:w="105" w:type="dxa"/>
              <w:end w:w="120" w:type="dxa"/>
            </w:tcMar>
            <w:vAlign w:val="center"/>
          </w:tcPr>
          <w:p>
            <w:r>
              <w:rPr>
                <w:b/>
              </w:rPr>
            </w:r>
            <w:r>
              <w:rPr>
                <w:rFonts w:ascii="Arial" w:hAnsi="Arial"/>
                <w:b/>
                <w:color w:val="FFFFFF"/>
                <w:sz w:val="19"/>
              </w:rPr>
              <w:t>Allowance</w:t>
            </w:r>
          </w:p>
        </w:tc>
        <w:tc>
          <w:tcPr>
            <w:tcW w:type="dxa" w:w="2550"/>
            <w:shd w:fill="1E2B33"/>
            <w:tcMar>
              <w:top w:w="105" w:type="dxa"/>
              <w:start w:w="120" w:type="dxa"/>
              <w:bottom w:w="105" w:type="dxa"/>
              <w:end w:w="120" w:type="dxa"/>
            </w:tcMar>
            <w:vAlign w:val="center"/>
          </w:tcPr>
          <w:p>
            <w:r>
              <w:rPr>
                <w:b/>
              </w:rPr>
            </w:r>
            <w:r>
              <w:rPr>
                <w:rFonts w:ascii="Arial" w:hAnsi="Arial"/>
                <w:b/>
                <w:color w:val="FFFFFF"/>
                <w:sz w:val="19"/>
              </w:rPr>
              <w:t>Timing</w:t>
            </w:r>
          </w:p>
        </w:tc>
        <w:tc>
          <w:tcPr>
            <w:tcW w:type="dxa" w:w="2550"/>
            <w:shd w:fill="1E2B33"/>
            <w:tcMar>
              <w:top w:w="105" w:type="dxa"/>
              <w:start w:w="120" w:type="dxa"/>
              <w:bottom w:w="105" w:type="dxa"/>
              <w:end w:w="120" w:type="dxa"/>
            </w:tcMar>
            <w:vAlign w:val="center"/>
          </w:tcPr>
          <w:p>
            <w:r>
              <w:rPr>
                <w:b/>
              </w:rPr>
            </w:r>
            <w:r>
              <w:rPr>
                <w:rFonts w:ascii="Arial" w:hAnsi="Arial"/>
                <w:b/>
                <w:color w:val="FFFFFF"/>
                <w:sz w:val="19"/>
              </w:rPr>
              <w:t>Notes</w:t>
            </w:r>
          </w:p>
        </w:tc>
      </w:tr>
      <w:tr>
        <w:trPr>
          <w:cantSplit/>
        </w:trPr>
        <w:tc>
          <w:tcPr>
            <w:tcW w:type="dxa" w:w="2381"/>
            <w:shd w:fill="FFFFFF"/>
            <w:tcMar>
              <w:top w:w="110" w:type="dxa"/>
              <w:start w:w="120" w:type="dxa"/>
              <w:bottom w:w="110" w:type="dxa"/>
              <w:end w:w="120" w:type="dxa"/>
            </w:tcMar>
            <w:vAlign w:val="top"/>
          </w:tcPr>
          <w:p>
            <w:r/>
            <w:r>
              <w:rPr>
                <w:rFonts w:ascii="Courier New" w:hAnsi="Courier New"/>
                <w:color w:val="273137"/>
                <w:sz w:val="17"/>
              </w:rPr>
              <w:t>muntajaa.com</w:t>
            </w:r>
            <w:r>
              <w:rPr>
                <w:rFonts w:ascii="Arial" w:hAnsi="Arial"/>
                <w:color w:val="273137"/>
                <w:sz w:val="18"/>
              </w:rPr>
              <w:t xml:space="preserve"> domain</w:t>
            </w:r>
          </w:p>
        </w:tc>
        <w:tc>
          <w:tcPr>
            <w:tcW w:type="dxa" w:w="2381"/>
            <w:shd w:fill="FFFFFF"/>
            <w:tcMar>
              <w:top w:w="110" w:type="dxa"/>
              <w:start w:w="120" w:type="dxa"/>
              <w:bottom w:w="110" w:type="dxa"/>
              <w:end w:w="120" w:type="dxa"/>
            </w:tcMar>
            <w:vAlign w:val="top"/>
          </w:tcPr>
          <w:p>
            <w:r/>
            <w:r>
              <w:rPr>
                <w:rFonts w:ascii="Arial" w:hAnsi="Arial"/>
                <w:b/>
                <w:color w:val="273137"/>
                <w:sz w:val="18"/>
              </w:rPr>
              <w:t>$10 to $28</w:t>
            </w:r>
          </w:p>
        </w:tc>
        <w:tc>
          <w:tcPr>
            <w:tcW w:type="dxa" w:w="2381"/>
            <w:shd w:fill="FFFFFF"/>
            <w:tcMar>
              <w:top w:w="110" w:type="dxa"/>
              <w:start w:w="120" w:type="dxa"/>
              <w:bottom w:w="110" w:type="dxa"/>
              <w:end w:w="120" w:type="dxa"/>
            </w:tcMar>
            <w:vAlign w:val="top"/>
          </w:tcPr>
          <w:p>
            <w:r/>
            <w:r>
              <w:rPr>
                <w:rFonts w:ascii="Arial" w:hAnsi="Arial"/>
                <w:color w:val="273137"/>
                <w:sz w:val="18"/>
              </w:rPr>
              <w:t>Annual</w:t>
            </w:r>
          </w:p>
        </w:tc>
        <w:tc>
          <w:tcPr>
            <w:tcW w:type="dxa" w:w="2381"/>
            <w:shd w:fill="FFFFFF"/>
            <w:tcMar>
              <w:top w:w="110" w:type="dxa"/>
              <w:start w:w="120" w:type="dxa"/>
              <w:bottom w:w="110" w:type="dxa"/>
              <w:end w:w="120" w:type="dxa"/>
            </w:tcMar>
            <w:vAlign w:val="top"/>
          </w:tcPr>
          <w:p>
            <w:r/>
            <w:r>
              <w:rPr>
                <w:rFonts w:ascii="Arial" w:hAnsi="Arial"/>
                <w:color w:val="273137"/>
                <w:sz w:val="18"/>
              </w:rPr>
              <w:t>Working domain and provisional registrar price</w:t>
            </w:r>
          </w:p>
        </w:tc>
      </w:tr>
      <w:tr>
        <w:trPr>
          <w:cantSplit/>
        </w:trPr>
        <w:tc>
          <w:tcPr>
            <w:tcW w:type="dxa" w:w="2381"/>
            <w:shd w:fill="F3F5F5"/>
            <w:tcMar>
              <w:top w:w="110" w:type="dxa"/>
              <w:start w:w="120" w:type="dxa"/>
              <w:bottom w:w="110" w:type="dxa"/>
              <w:end w:w="120" w:type="dxa"/>
            </w:tcMar>
            <w:vAlign w:val="top"/>
          </w:tcPr>
          <w:p>
            <w:r/>
            <w:r>
              <w:rPr>
                <w:rFonts w:ascii="Arial" w:hAnsi="Arial"/>
                <w:color w:val="273137"/>
                <w:sz w:val="18"/>
              </w:rPr>
              <w:t>Business email</w:t>
            </w:r>
          </w:p>
        </w:tc>
        <w:tc>
          <w:tcPr>
            <w:tcW w:type="dxa" w:w="2381"/>
            <w:shd w:fill="F3F5F5"/>
            <w:tcMar>
              <w:top w:w="110" w:type="dxa"/>
              <w:start w:w="120" w:type="dxa"/>
              <w:bottom w:w="110" w:type="dxa"/>
              <w:end w:w="120" w:type="dxa"/>
            </w:tcMar>
            <w:vAlign w:val="top"/>
          </w:tcPr>
          <w:p>
            <w:r/>
            <w:r>
              <w:rPr>
                <w:rFonts w:ascii="Arial" w:hAnsi="Arial"/>
                <w:b/>
                <w:color w:val="273137"/>
                <w:sz w:val="18"/>
              </w:rPr>
              <w:t>$36</w:t>
            </w:r>
          </w:p>
        </w:tc>
        <w:tc>
          <w:tcPr>
            <w:tcW w:type="dxa" w:w="2381"/>
            <w:shd w:fill="F3F5F5"/>
            <w:tcMar>
              <w:top w:w="110" w:type="dxa"/>
              <w:start w:w="120" w:type="dxa"/>
              <w:bottom w:w="110" w:type="dxa"/>
              <w:end w:w="120" w:type="dxa"/>
            </w:tcMar>
            <w:vAlign w:val="top"/>
          </w:tcPr>
          <w:p>
            <w:r/>
            <w:r>
              <w:rPr>
                <w:rFonts w:ascii="Arial" w:hAnsi="Arial"/>
                <w:color w:val="273137"/>
                <w:sz w:val="18"/>
              </w:rPr>
              <w:t>Annual</w:t>
            </w:r>
          </w:p>
        </w:tc>
        <w:tc>
          <w:tcPr>
            <w:tcW w:type="dxa" w:w="2381"/>
            <w:shd w:fill="F3F5F5"/>
            <w:tcMar>
              <w:top w:w="110" w:type="dxa"/>
              <w:start w:w="120" w:type="dxa"/>
              <w:bottom w:w="110" w:type="dxa"/>
              <w:end w:w="120" w:type="dxa"/>
            </w:tcMar>
            <w:vAlign w:val="top"/>
          </w:tcPr>
          <w:p>
            <w:r/>
            <w:r>
              <w:rPr>
                <w:rFonts w:ascii="Arial" w:hAnsi="Arial"/>
                <w:color w:val="273137"/>
                <w:sz w:val="18"/>
              </w:rPr>
              <w:t>One Porkbun mailbox plus up to 20 free forwarding addresses</w:t>
            </w:r>
          </w:p>
        </w:tc>
      </w:tr>
      <w:tr>
        <w:trPr>
          <w:cantSplit/>
        </w:trPr>
        <w:tc>
          <w:tcPr>
            <w:tcW w:type="dxa" w:w="2381"/>
            <w:shd w:fill="FFFFFF"/>
            <w:tcMar>
              <w:top w:w="110" w:type="dxa"/>
              <w:start w:w="120" w:type="dxa"/>
              <w:bottom w:w="110" w:type="dxa"/>
              <w:end w:w="120" w:type="dxa"/>
            </w:tcMar>
            <w:vAlign w:val="top"/>
          </w:tcPr>
          <w:p>
            <w:r/>
            <w:r>
              <w:rPr>
                <w:rFonts w:ascii="Arial" w:hAnsi="Arial"/>
                <w:color w:val="273137"/>
                <w:sz w:val="18"/>
              </w:rPr>
              <w:t>CodeRabbit Pro+</w:t>
            </w:r>
          </w:p>
        </w:tc>
        <w:tc>
          <w:tcPr>
            <w:tcW w:type="dxa" w:w="2381"/>
            <w:shd w:fill="FFFFFF"/>
            <w:tcMar>
              <w:top w:w="110" w:type="dxa"/>
              <w:start w:w="120" w:type="dxa"/>
              <w:bottom w:w="110" w:type="dxa"/>
              <w:end w:w="120" w:type="dxa"/>
            </w:tcMar>
            <w:vAlign w:val="top"/>
          </w:tcPr>
          <w:p>
            <w:r/>
            <w:r>
              <w:rPr>
                <w:rFonts w:ascii="Arial" w:hAnsi="Arial"/>
                <w:b/>
                <w:color w:val="273137"/>
                <w:sz w:val="18"/>
              </w:rPr>
              <w:t>$60/month</w:t>
            </w:r>
          </w:p>
        </w:tc>
        <w:tc>
          <w:tcPr>
            <w:tcW w:type="dxa" w:w="2381"/>
            <w:shd w:fill="FFFFFF"/>
            <w:tcMar>
              <w:top w:w="110" w:type="dxa"/>
              <w:start w:w="120" w:type="dxa"/>
              <w:bottom w:w="110" w:type="dxa"/>
              <w:end w:w="120" w:type="dxa"/>
            </w:tcMar>
            <w:vAlign w:val="top"/>
          </w:tcPr>
          <w:p>
            <w:r/>
            <w:r>
              <w:rPr>
                <w:rFonts w:ascii="Arial" w:hAnsi="Arial"/>
                <w:color w:val="273137"/>
                <w:sz w:val="18"/>
              </w:rPr>
              <w:t>Month-to-month</w:t>
            </w:r>
          </w:p>
        </w:tc>
        <w:tc>
          <w:tcPr>
            <w:tcW w:type="dxa" w:w="2381"/>
            <w:shd w:fill="FFFFFF"/>
            <w:tcMar>
              <w:top w:w="110" w:type="dxa"/>
              <w:start w:w="120" w:type="dxa"/>
              <w:bottom w:w="110" w:type="dxa"/>
              <w:end w:w="120" w:type="dxa"/>
            </w:tcMar>
            <w:vAlign w:val="top"/>
          </w:tcPr>
          <w:p>
            <w:r/>
            <w:r>
              <w:rPr>
                <w:rFonts w:ascii="Arial" w:hAnsi="Arial"/>
                <w:color w:val="273137"/>
                <w:sz w:val="18"/>
              </w:rPr>
              <w:t>Selected for the initial trial; $720 if retained for 12 months</w:t>
            </w:r>
          </w:p>
        </w:tc>
      </w:tr>
      <w:tr>
        <w:trPr>
          <w:cantSplit/>
        </w:trPr>
        <w:tc>
          <w:tcPr>
            <w:tcW w:type="dxa" w:w="2381"/>
            <w:shd w:fill="F3F5F5"/>
            <w:tcMar>
              <w:top w:w="110" w:type="dxa"/>
              <w:start w:w="120" w:type="dxa"/>
              <w:bottom w:w="110" w:type="dxa"/>
              <w:end w:w="120" w:type="dxa"/>
            </w:tcMar>
            <w:vAlign w:val="top"/>
          </w:tcPr>
          <w:p>
            <w:r/>
            <w:r>
              <w:rPr>
                <w:rFonts w:ascii="Arial" w:hAnsi="Arial"/>
                <w:color w:val="273137"/>
                <w:sz w:val="18"/>
              </w:rPr>
              <w:t>Muntajaa word-mark protection</w:t>
            </w:r>
          </w:p>
        </w:tc>
        <w:tc>
          <w:tcPr>
            <w:tcW w:type="dxa" w:w="2381"/>
            <w:shd w:fill="F3F5F5"/>
            <w:tcMar>
              <w:top w:w="110" w:type="dxa"/>
              <w:start w:w="120" w:type="dxa"/>
              <w:bottom w:w="110" w:type="dxa"/>
              <w:end w:w="120" w:type="dxa"/>
            </w:tcMar>
            <w:vAlign w:val="top"/>
          </w:tcPr>
          <w:p>
            <w:r/>
            <w:r>
              <w:rPr>
                <w:rFonts w:ascii="Arial" w:hAnsi="Arial"/>
                <w:b/>
                <w:color w:val="273137"/>
                <w:sz w:val="18"/>
              </w:rPr>
              <w:t>2,100,000 IQD, approximately £1,200</w:t>
            </w:r>
          </w:p>
        </w:tc>
        <w:tc>
          <w:tcPr>
            <w:tcW w:type="dxa" w:w="2381"/>
            <w:shd w:fill="F3F5F5"/>
            <w:tcMar>
              <w:top w:w="110" w:type="dxa"/>
              <w:start w:w="120" w:type="dxa"/>
              <w:bottom w:w="110" w:type="dxa"/>
              <w:end w:w="120" w:type="dxa"/>
            </w:tcMar>
            <w:vAlign w:val="top"/>
          </w:tcPr>
          <w:p>
            <w:r/>
            <w:r>
              <w:rPr>
                <w:rFonts w:ascii="Arial" w:hAnsi="Arial"/>
                <w:color w:val="273137"/>
                <w:sz w:val="18"/>
              </w:rPr>
              <w:t>One time</w:t>
            </w:r>
          </w:p>
        </w:tc>
        <w:tc>
          <w:tcPr>
            <w:tcW w:type="dxa" w:w="2381"/>
            <w:shd w:fill="F3F5F5"/>
            <w:tcMar>
              <w:top w:w="110" w:type="dxa"/>
              <w:start w:w="120" w:type="dxa"/>
              <w:bottom w:w="110" w:type="dxa"/>
              <w:end w:w="120" w:type="dxa"/>
            </w:tcMar>
            <w:vAlign w:val="top"/>
          </w:tcPr>
          <w:p>
            <w:r/>
            <w:r>
              <w:rPr>
                <w:rFonts w:ascii="Arial" w:hAnsi="Arial"/>
                <w:color w:val="273137"/>
                <w:sz w:val="18"/>
              </w:rPr>
              <w:t>Provisional federal Iraq and Kurdistan Region allowance</w:t>
            </w:r>
          </w:p>
        </w:tc>
      </w:tr>
      <w:tr>
        <w:trPr>
          <w:cantSplit/>
        </w:trPr>
        <w:tc>
          <w:tcPr>
            <w:tcW w:type="dxa" w:w="2381"/>
            <w:shd w:fill="FFFFFF"/>
            <w:tcMar>
              <w:top w:w="110" w:type="dxa"/>
              <w:start w:w="120" w:type="dxa"/>
              <w:bottom w:w="110" w:type="dxa"/>
              <w:end w:w="120" w:type="dxa"/>
            </w:tcMar>
            <w:vAlign w:val="top"/>
          </w:tcPr>
          <w:p>
            <w:r/>
            <w:r>
              <w:rPr>
                <w:rFonts w:ascii="Arial" w:hAnsi="Arial"/>
                <w:color w:val="273137"/>
                <w:sz w:val="18"/>
              </w:rPr>
              <w:t>One-off contingency</w:t>
            </w:r>
          </w:p>
        </w:tc>
        <w:tc>
          <w:tcPr>
            <w:tcW w:type="dxa" w:w="2381"/>
            <w:shd w:fill="FFFFFF"/>
            <w:tcMar>
              <w:top w:w="110" w:type="dxa"/>
              <w:start w:w="120" w:type="dxa"/>
              <w:bottom w:w="110" w:type="dxa"/>
              <w:end w:w="120" w:type="dxa"/>
            </w:tcMar>
            <w:vAlign w:val="top"/>
          </w:tcPr>
          <w:p>
            <w:r/>
            <w:r>
              <w:rPr>
                <w:rFonts w:ascii="Arial" w:hAnsi="Arial"/>
                <w:b/>
                <w:color w:val="273137"/>
                <w:sz w:val="18"/>
              </w:rPr>
              <w:t>10%</w:t>
            </w:r>
          </w:p>
        </w:tc>
        <w:tc>
          <w:tcPr>
            <w:tcW w:type="dxa" w:w="2381"/>
            <w:shd w:fill="FFFFFF"/>
            <w:tcMar>
              <w:top w:w="110" w:type="dxa"/>
              <w:start w:w="120" w:type="dxa"/>
              <w:bottom w:w="110" w:type="dxa"/>
              <w:end w:w="120" w:type="dxa"/>
            </w:tcMar>
            <w:vAlign w:val="top"/>
          </w:tcPr>
          <w:p>
            <w:r/>
            <w:r>
              <w:rPr>
                <w:rFonts w:ascii="Arial" w:hAnsi="Arial"/>
                <w:color w:val="273137"/>
                <w:sz w:val="18"/>
              </w:rPr>
              <w:t>One time</w:t>
            </w:r>
          </w:p>
        </w:tc>
        <w:tc>
          <w:tcPr>
            <w:tcW w:type="dxa" w:w="2381"/>
            <w:shd w:fill="FFFFFF"/>
            <w:tcMar>
              <w:top w:w="110" w:type="dxa"/>
              <w:start w:w="120" w:type="dxa"/>
              <w:bottom w:w="110" w:type="dxa"/>
              <w:end w:w="120" w:type="dxa"/>
            </w:tcMar>
            <w:vAlign w:val="top"/>
          </w:tcPr>
          <w:p>
            <w:r/>
            <w:r>
              <w:rPr>
                <w:rFonts w:ascii="Arial" w:hAnsi="Arial"/>
                <w:color w:val="273137"/>
                <w:sz w:val="18"/>
              </w:rPr>
              <w:t>Applied to confirmed one-off setup costs after TBC quotations are received</w:t>
            </w:r>
          </w:p>
        </w:tc>
      </w:tr>
    </w:tbl>
    <w:p>
      <w:pPr>
        <w:spacing w:after="20"/>
      </w:pPr>
    </w:p>
    <w:p>
      <w:r>
        <w:rPr>
          <w:rFonts w:ascii="Arial" w:hAnsi="Arial"/>
          <w:color w:val="273137"/>
          <w:sz w:val="21"/>
        </w:rPr>
        <w:t>For illustration, 10% on the trademark allowance alone is 210,000 IQD, approximately £120. Company registration, legal, accounting and other TBC quotations must be added before the final contingency is calculated.</w:t>
      </w:r>
    </w:p>
    <w:p>
      <w:pPr>
        <w:pStyle w:val="Heading1"/>
        <w:pageBreakBefore/>
        <w:pBdr>
          <w:bottom w:val="single" w:sz="10" w:space="7" w:color="2F7868"/>
        </w:pBdr>
      </w:pPr>
      <w:r>
        <w:t>3. Payments and marketplace operations</w:t>
      </w:r>
    </w:p>
    <w:p>
      <w:pPr>
        <w:pStyle w:val="Heading2"/>
      </w:pPr>
      <w:r>
        <w:t>3.1 Commercial model</w:t>
      </w:r>
    </w:p>
    <w:p>
      <w:pPr>
        <w:ind w:left="312" w:hanging="142"/>
      </w:pPr>
      <w:r>
        <w:rPr>
          <w:rFonts w:ascii="Arial" w:hAnsi="Arial"/>
          <w:color w:val="2F7868"/>
        </w:rPr>
        <w:t xml:space="preserve">•  </w:t>
      </w:r>
      <w:r>
        <w:rPr>
          <w:rFonts w:ascii="Arial" w:hAnsi="Arial"/>
          <w:color w:val="273137"/>
          <w:sz w:val="19"/>
        </w:rPr>
        <w:t xml:space="preserve">Charge the customer a proposed fixed </w:t>
      </w:r>
      <w:r>
        <w:rPr>
          <w:rFonts w:ascii="Arial" w:hAnsi="Arial"/>
          <w:b/>
          <w:color w:val="273137"/>
          <w:sz w:val="19"/>
        </w:rPr>
        <w:t>IQD 5,000 RentCottage booking service fee</w:t>
      </w:r>
      <w:r>
        <w:rPr>
          <w:rFonts w:ascii="Arial" w:hAnsi="Arial"/>
          <w:color w:val="273137"/>
          <w:sz w:val="19"/>
        </w:rPr>
        <w:t xml:space="preserve"> on each paid booking.</w:t>
      </w:r>
    </w:p>
    <w:p>
      <w:pPr>
        <w:ind w:left="312" w:hanging="142"/>
      </w:pPr>
      <w:r>
        <w:rPr>
          <w:rFonts w:ascii="Arial" w:hAnsi="Arial"/>
          <w:color w:val="2F7868"/>
        </w:rPr>
        <w:t xml:space="preserve">•  </w:t>
      </w:r>
      <w:r>
        <w:rPr>
          <w:rFonts w:ascii="Arial" w:hAnsi="Arial"/>
          <w:color w:val="273137"/>
          <w:sz w:val="19"/>
        </w:rPr>
        <w:t xml:space="preserve">Deduct a </w:t>
      </w:r>
      <w:r>
        <w:rPr>
          <w:rFonts w:ascii="Arial" w:hAnsi="Arial"/>
          <w:b/>
          <w:color w:val="273137"/>
          <w:sz w:val="19"/>
        </w:rPr>
        <w:t>10% RentCottage commission</w:t>
      </w:r>
      <w:r>
        <w:rPr>
          <w:rFonts w:ascii="Arial" w:hAnsi="Arial"/>
          <w:color w:val="273137"/>
          <w:sz w:val="19"/>
        </w:rPr>
        <w:t xml:space="preserve"> from the cottage booking price before calculating owner payout.</w:t>
      </w:r>
    </w:p>
    <w:p>
      <w:pPr>
        <w:ind w:left="312" w:hanging="142"/>
      </w:pPr>
      <w:r>
        <w:rPr>
          <w:rFonts w:ascii="Arial" w:hAnsi="Arial"/>
          <w:color w:val="2F7868"/>
        </w:rPr>
        <w:t xml:space="preserve">•  </w:t>
      </w:r>
      <w:r>
        <w:rPr>
          <w:rFonts w:ascii="Arial" w:hAnsi="Arial"/>
          <w:color w:val="273137"/>
          <w:sz w:val="19"/>
        </w:rPr>
        <w:t>Show the cottage booking price, booking service fee and customer total separately before payment authorisation.</w:t>
      </w:r>
    </w:p>
    <w:p>
      <w:pPr>
        <w:ind w:left="312" w:hanging="142"/>
      </w:pPr>
      <w:r>
        <w:rPr>
          <w:rFonts w:ascii="Arial" w:hAnsi="Arial"/>
          <w:color w:val="2F7868"/>
        </w:rPr>
        <w:t xml:space="preserve">•  </w:t>
      </w:r>
      <w:r>
        <w:rPr>
          <w:rFonts w:ascii="Arial" w:hAnsi="Arial"/>
          <w:color w:val="273137"/>
          <w:sz w:val="19"/>
        </w:rPr>
        <w:t>Include the booking service fee in every outcome described as a full refund.</w:t>
      </w:r>
    </w:p>
    <w:p>
      <w:pPr>
        <w:ind w:left="312" w:hanging="142"/>
      </w:pPr>
      <w:r>
        <w:rPr>
          <w:rFonts w:ascii="Arial" w:hAnsi="Arial"/>
          <w:color w:val="2F7868"/>
        </w:rPr>
        <w:t xml:space="preserve">•  </w:t>
      </w:r>
      <w:r>
        <w:rPr>
          <w:rFonts w:ascii="Arial" w:hAnsi="Arial"/>
          <w:color w:val="273137"/>
          <w:sz w:val="19"/>
        </w:rPr>
        <w:t>Never describe the customer service fee as a card, gateway or payment-processing surcharge.</w:t>
      </w:r>
    </w:p>
    <w:p>
      <w:r>
        <w:rPr>
          <w:rFonts w:ascii="Arial" w:hAnsi="Arial"/>
          <w:color w:val="273137"/>
          <w:sz w:val="21"/>
        </w:rPr>
        <w:t>The IQD 5,000 amount is a launch hypothesis. It should be tested with prospective customers and reviewed against conversion, support and refund costs after launch.</w:t>
      </w:r>
    </w:p>
    <w:p>
      <w:pPr>
        <w:pStyle w:val="Heading2"/>
      </w:pPr>
      <w:r>
        <w:t>3.2 Payment-provider allowance</w:t>
      </w:r>
    </w:p>
    <w:p>
      <w:r>
        <w:rPr>
          <w:rFonts w:ascii="Arial" w:hAnsi="Arial"/>
          <w:color w:val="273137"/>
          <w:sz w:val="21"/>
        </w:rPr>
        <w:t xml:space="preserve">Final payment-processing cost is </w:t>
      </w:r>
      <w:r>
        <w:rPr>
          <w:rFonts w:ascii="Arial" w:hAnsi="Arial"/>
          <w:b/>
          <w:color w:val="273137"/>
          <w:sz w:val="21"/>
        </w:rPr>
        <w:t>TBC</w:t>
      </w:r>
      <w:r>
        <w:rPr>
          <w:rFonts w:ascii="Arial" w:hAnsi="Arial"/>
          <w:color w:val="273137"/>
          <w:sz w:val="21"/>
        </w:rPr>
        <w:t xml:space="preserve"> until a licensed provider supplies written marketplace terms. A </w:t>
      </w:r>
      <w:r>
        <w:rPr>
          <w:rFonts w:ascii="Arial" w:hAnsi="Arial"/>
          <w:b/>
          <w:color w:val="273137"/>
          <w:sz w:val="21"/>
        </w:rPr>
        <w:t>1.5% of gross customer payments</w:t>
      </w:r>
      <w:r>
        <w:rPr>
          <w:rFonts w:ascii="Arial" w:hAnsi="Arial"/>
          <w:color w:val="273137"/>
          <w:sz w:val="21"/>
        </w:rPr>
        <w:t xml:space="preserve"> scenario may be retained for sensitivity modelling, but it is not an approved or quoted cost.</w:t>
      </w:r>
    </w:p>
    <w:p>
      <w:r>
        <w:rPr>
          <w:rFonts w:ascii="Arial" w:hAnsi="Arial"/>
          <w:color w:val="273137"/>
          <w:sz w:val="21"/>
        </w:rPr>
        <w:t>Qi Card is the first provider to validate because its public material shows the closest fit to the required payment building blocks. ZainCash and AsiaPay remain alternatives. No provider is selected until it proves the complete flow in a sandbox and contract, including:</w:t>
      </w:r>
    </w:p>
    <w:p>
      <w:pPr>
        <w:ind w:left="312" w:hanging="142"/>
      </w:pPr>
      <w:r>
        <w:rPr>
          <w:rFonts w:ascii="Arial" w:hAnsi="Arial"/>
          <w:color w:val="2F7868"/>
        </w:rPr>
        <w:t xml:space="preserve">•  </w:t>
      </w:r>
      <w:r>
        <w:rPr>
          <w:rFonts w:ascii="Arial" w:hAnsi="Arial"/>
          <w:color w:val="273137"/>
          <w:sz w:val="19"/>
        </w:rPr>
        <w:t>full customer-total authorisation and reservation of funds;</w:t>
      </w:r>
    </w:p>
    <w:p>
      <w:pPr>
        <w:ind w:left="312" w:hanging="142"/>
      </w:pPr>
      <w:r>
        <w:rPr>
          <w:rFonts w:ascii="Arial" w:hAnsi="Arial"/>
          <w:color w:val="2F7868"/>
        </w:rPr>
        <w:t xml:space="preserve">•  </w:t>
      </w:r>
      <w:r>
        <w:rPr>
          <w:rFonts w:ascii="Arial" w:hAnsi="Arial"/>
          <w:color w:val="273137"/>
          <w:sz w:val="19"/>
        </w:rPr>
        <w:t>later automatic capture after owner acceptance;</w:t>
      </w:r>
    </w:p>
    <w:p>
      <w:pPr>
        <w:ind w:left="312" w:hanging="142"/>
      </w:pPr>
      <w:r>
        <w:rPr>
          <w:rFonts w:ascii="Arial" w:hAnsi="Arial"/>
          <w:color w:val="2F7868"/>
        </w:rPr>
        <w:t xml:space="preserve">•  </w:t>
      </w:r>
      <w:r>
        <w:rPr>
          <w:rFonts w:ascii="Arial" w:hAnsi="Arial"/>
          <w:color w:val="273137"/>
          <w:sz w:val="19"/>
        </w:rPr>
        <w:t>release after decline, withdrawal or expiry;</w:t>
      </w:r>
    </w:p>
    <w:p>
      <w:pPr>
        <w:ind w:left="312" w:hanging="142"/>
      </w:pPr>
      <w:r>
        <w:rPr>
          <w:rFonts w:ascii="Arial" w:hAnsi="Arial"/>
          <w:color w:val="2F7868"/>
        </w:rPr>
        <w:t xml:space="preserve">•  </w:t>
      </w:r>
      <w:r>
        <w:rPr>
          <w:rFonts w:ascii="Arial" w:hAnsi="Arial"/>
          <w:color w:val="273137"/>
          <w:sz w:val="19"/>
        </w:rPr>
        <w:t>full refunds and final refund-status reporting;</w:t>
      </w:r>
    </w:p>
    <w:p>
      <w:pPr>
        <w:ind w:left="312" w:hanging="142"/>
      </w:pPr>
      <w:r>
        <w:rPr>
          <w:rFonts w:ascii="Arial" w:hAnsi="Arial"/>
          <w:color w:val="2F7868"/>
        </w:rPr>
        <w:t xml:space="preserve">•  </w:t>
      </w:r>
      <w:r>
        <w:rPr>
          <w:rFonts w:ascii="Arial" w:hAnsi="Arial"/>
          <w:color w:val="273137"/>
          <w:sz w:val="19"/>
        </w:rPr>
        <w:t>signed, retryable and idempotent payment events;</w:t>
      </w:r>
    </w:p>
    <w:p>
      <w:pPr>
        <w:ind w:left="312" w:hanging="142"/>
      </w:pPr>
      <w:r>
        <w:rPr>
          <w:rFonts w:ascii="Arial" w:hAnsi="Arial"/>
          <w:color w:val="2F7868"/>
        </w:rPr>
        <w:t xml:space="preserve">•  </w:t>
      </w:r>
      <w:r>
        <w:rPr>
          <w:rFonts w:ascii="Arial" w:hAnsi="Arial"/>
          <w:color w:val="273137"/>
          <w:sz w:val="19"/>
        </w:rPr>
        <w:t>lawful settlement of each owner's net payout;</w:t>
      </w:r>
    </w:p>
    <w:p>
      <w:pPr>
        <w:ind w:left="312" w:hanging="142"/>
      </w:pPr>
      <w:r>
        <w:rPr>
          <w:rFonts w:ascii="Arial" w:hAnsi="Arial"/>
          <w:color w:val="2F7868"/>
        </w:rPr>
        <w:t xml:space="preserve">•  </w:t>
      </w:r>
      <w:r>
        <w:rPr>
          <w:rFonts w:ascii="Arial" w:hAnsi="Arial"/>
          <w:color w:val="273137"/>
          <w:sz w:val="19"/>
        </w:rPr>
        <w:t>clear treatment of processing fees, disputes, chargebacks and reserves.</w:t>
      </w:r>
    </w:p>
    <w:p>
      <w:r>
        <w:rPr>
          <w:rFonts w:ascii="Arial" w:hAnsi="Arial"/>
          <w:color w:val="273137"/>
          <w:sz w:val="21"/>
        </w:rPr>
        <w:t>If no Central Bank of Iraq-licensed provider can support the agreed flow, the product payment model must be redesigned before implementation. RentCottage will not operate an unlicensed wallet or directly improvise custody of customer funds.</w:t>
      </w:r>
    </w:p>
    <w:p>
      <w:r>
        <w:rPr>
          <w:rFonts w:ascii="Arial" w:hAnsi="Arial"/>
          <w:color w:val="273137"/>
          <w:sz w:val="21"/>
        </w:rPr>
        <w:t xml:space="preserve">Apple and Google app-store commission is budgeted at </w:t>
      </w:r>
      <w:r>
        <w:rPr>
          <w:rFonts w:ascii="Arial" w:hAnsi="Arial"/>
          <w:b/>
          <w:color w:val="273137"/>
          <w:sz w:val="21"/>
        </w:rPr>
        <w:t>$0</w:t>
      </w:r>
      <w:r>
        <w:rPr>
          <w:rFonts w:ascii="Arial" w:hAnsi="Arial"/>
          <w:color w:val="273137"/>
          <w:sz w:val="21"/>
        </w:rPr>
        <w:t xml:space="preserve"> because cottage bookings are purchases of physical services rather than digital content.</w:t>
      </w:r>
    </w:p>
    <w:p>
      <w:pPr>
        <w:pStyle w:val="Heading2"/>
      </w:pPr>
      <w:r>
        <w:t>3.3 Operating assumptions</w:t>
      </w:r>
    </w:p>
    <w:p>
      <w:pPr>
        <w:ind w:left="312" w:hanging="142"/>
      </w:pPr>
      <w:r>
        <w:rPr>
          <w:rFonts w:ascii="Arial" w:hAnsi="Arial"/>
          <w:color w:val="2F7868"/>
        </w:rPr>
        <w:t xml:space="preserve">•  </w:t>
      </w:r>
      <w:r>
        <w:rPr>
          <w:rFonts w:ascii="Arial" w:hAnsi="Arial"/>
          <w:color w:val="273137"/>
          <w:sz w:val="19"/>
        </w:rPr>
        <w:t>The operating company is expected to be registered in Iraq. Federal Iraq or Kurdistan Region registration remains TBC after local advice.</w:t>
      </w:r>
    </w:p>
    <w:p>
      <w:pPr>
        <w:ind w:left="312" w:hanging="142"/>
      </w:pPr>
      <w:r>
        <w:rPr>
          <w:rFonts w:ascii="Arial" w:hAnsi="Arial"/>
          <w:color w:val="2F7868"/>
        </w:rPr>
        <w:t xml:space="preserve">•  </w:t>
      </w:r>
      <w:r>
        <w:rPr>
          <w:rFonts w:ascii="Arial" w:hAnsi="Arial"/>
          <w:color w:val="273137"/>
          <w:sz w:val="19"/>
        </w:rPr>
        <w:t>No new United Kingdom company formation cost is included.</w:t>
      </w:r>
    </w:p>
    <w:p>
      <w:pPr>
        <w:ind w:left="312" w:hanging="142"/>
      </w:pPr>
      <w:r>
        <w:rPr>
          <w:rFonts w:ascii="Arial" w:hAnsi="Arial"/>
          <w:color w:val="2F7868"/>
        </w:rPr>
        <w:t xml:space="preserve">•  </w:t>
      </w:r>
      <w:r>
        <w:rPr>
          <w:rFonts w:ascii="Arial" w:hAnsi="Arial"/>
          <w:color w:val="273137"/>
          <w:sz w:val="19"/>
        </w:rPr>
        <w:t>Ongoing United Kingdom accounting is not included unless the final cross-border structure requires it.</w:t>
      </w:r>
    </w:p>
    <w:p>
      <w:pPr>
        <w:ind w:left="312" w:hanging="142"/>
      </w:pPr>
      <w:r>
        <w:rPr>
          <w:rFonts w:ascii="Arial" w:hAnsi="Arial"/>
          <w:color w:val="2F7868"/>
        </w:rPr>
        <w:t xml:space="preserve">•  </w:t>
      </w:r>
      <w:r>
        <w:rPr>
          <w:rFonts w:ascii="Arial" w:hAnsi="Arial"/>
          <w:color w:val="273137"/>
          <w:sz w:val="19"/>
        </w:rPr>
        <w:t>Customer and cottage-owner policies may be drafted with AI, but Iraqi legal review remains TBC.</w:t>
      </w:r>
    </w:p>
    <w:p>
      <w:pPr>
        <w:ind w:left="312" w:hanging="142"/>
      </w:pPr>
      <w:r>
        <w:rPr>
          <w:rFonts w:ascii="Arial" w:hAnsi="Arial"/>
          <w:color w:val="2F7868"/>
        </w:rPr>
        <w:t xml:space="preserve">•  </w:t>
      </w:r>
      <w:r>
        <w:rPr>
          <w:rFonts w:ascii="Arial" w:hAnsi="Arial"/>
          <w:color w:val="273137"/>
          <w:sz w:val="19"/>
        </w:rPr>
        <w:t>Owner identity, authority-to-rent and licence checks are manual at launch. Secure in-platform document storage is included, but a paid identity-verification supplier is not.</w:t>
      </w:r>
    </w:p>
    <w:p>
      <w:pPr>
        <w:ind w:left="312" w:hanging="142"/>
      </w:pPr>
      <w:r>
        <w:rPr>
          <w:rFonts w:ascii="Arial" w:hAnsi="Arial"/>
          <w:color w:val="2F7868"/>
        </w:rPr>
        <w:t xml:space="preserve">•  </w:t>
      </w:r>
      <w:r>
        <w:rPr>
          <w:rFonts w:ascii="Arial" w:hAnsi="Arial"/>
          <w:color w:val="273137"/>
          <w:sz w:val="19"/>
        </w:rPr>
        <w:t>Cottage owners provide property photographs initially.</w:t>
      </w:r>
    </w:p>
    <w:p>
      <w:pPr>
        <w:ind w:left="312" w:hanging="142"/>
      </w:pPr>
      <w:r>
        <w:rPr>
          <w:rFonts w:ascii="Arial" w:hAnsi="Arial"/>
          <w:color w:val="2F7868"/>
        </w:rPr>
        <w:t xml:space="preserve">•  </w:t>
      </w:r>
      <w:r>
        <w:rPr>
          <w:rFonts w:ascii="Arial" w:hAnsi="Arial"/>
          <w:color w:val="273137"/>
          <w:sz w:val="19"/>
        </w:rPr>
        <w:t>ISO/IEC 27001 is a security benchmark only. The budget does not claim certification.</w:t>
      </w:r>
    </w:p>
    <w:p>
      <w:pPr>
        <w:pStyle w:val="Heading2"/>
      </w:pPr>
      <w:r>
        <w:t>3.4 Costs awaiting supplier quotations</w:t>
      </w:r>
    </w:p>
    <w:p>
      <w:r>
        <w:rPr>
          <w:rFonts w:ascii="Arial" w:hAnsi="Arial"/>
          <w:color w:val="273137"/>
          <w:sz w:val="21"/>
        </w:rPr>
        <w:t>These items are not free. TBC means the amount cannot be responsibly fixed until the company structure, scope or supplier is selected and a written quotation is obtained.</w:t>
      </w:r>
    </w:p>
    <w:tbl>
      <w:tblPr>
        <w:tblW w:type="auto" w:w="0"/>
        <w:jc w:val="center"/>
        <w:tblLayout w:type="fixed"/>
        <w:tblLook w:firstColumn="1" w:firstRow="1" w:lastColumn="0" w:lastRow="0" w:noHBand="0" w:noVBand="1" w:val="04A0"/>
      </w:tblPr>
      <w:tblGrid>
        <w:gridCol w:w="2857"/>
        <w:gridCol w:w="6667"/>
      </w:tblGrid>
      <w:tr>
        <w:trPr>
          <w:tblHeader w:val="true"/>
          <w:cantSplit/>
        </w:trPr>
        <w:tc>
          <w:tcPr>
            <w:tcW w:type="dxa" w:w="5100"/>
            <w:shd w:fill="1E2B33"/>
            <w:tcMar>
              <w:top w:w="105" w:type="dxa"/>
              <w:start w:w="120" w:type="dxa"/>
              <w:bottom w:w="105" w:type="dxa"/>
              <w:end w:w="120" w:type="dxa"/>
            </w:tcMar>
            <w:vAlign w:val="center"/>
          </w:tcPr>
          <w:p>
            <w:r>
              <w:rPr>
                <w:b/>
              </w:rPr>
            </w:r>
            <w:r>
              <w:rPr>
                <w:rFonts w:ascii="Arial" w:hAnsi="Arial"/>
                <w:b/>
                <w:color w:val="FFFFFF"/>
                <w:sz w:val="19"/>
              </w:rPr>
              <w:t>Item</w:t>
            </w:r>
          </w:p>
        </w:tc>
        <w:tc>
          <w:tcPr>
            <w:tcW w:type="dxa" w:w="5100"/>
            <w:shd w:fill="1E2B33"/>
            <w:tcMar>
              <w:top w:w="105" w:type="dxa"/>
              <w:start w:w="120" w:type="dxa"/>
              <w:bottom w:w="105" w:type="dxa"/>
              <w:end w:w="120" w:type="dxa"/>
            </w:tcMar>
            <w:vAlign w:val="center"/>
          </w:tcPr>
          <w:p>
            <w:r>
              <w:rPr>
                <w:b/>
              </w:rPr>
            </w:r>
            <w:r>
              <w:rPr>
                <w:rFonts w:ascii="Arial" w:hAnsi="Arial"/>
                <w:b/>
                <w:color w:val="FFFFFF"/>
                <w:sz w:val="19"/>
              </w:rPr>
              <w:t>Why the amount is not yet fixed</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Iraqi company registration</w:t>
            </w:r>
          </w:p>
        </w:tc>
        <w:tc>
          <w:tcPr>
            <w:tcW w:type="dxa" w:w="6667"/>
            <w:shd w:fill="FFFFFF"/>
            <w:tcMar>
              <w:top w:w="110" w:type="dxa"/>
              <w:start w:w="120" w:type="dxa"/>
              <w:bottom w:w="110" w:type="dxa"/>
              <w:end w:w="120" w:type="dxa"/>
            </w:tcMar>
            <w:vAlign w:val="top"/>
          </w:tcPr>
          <w:p>
            <w:r/>
            <w:r>
              <w:rPr>
                <w:rFonts w:ascii="Arial" w:hAnsi="Arial"/>
                <w:color w:val="273137"/>
                <w:sz w:val="18"/>
              </w:rPr>
              <w:t>Exact registry and company structure have not been selected</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Iraqi legal adviser</w:t>
            </w:r>
          </w:p>
        </w:tc>
        <w:tc>
          <w:tcPr>
            <w:tcW w:type="dxa" w:w="6667"/>
            <w:shd w:fill="F3F5F5"/>
            <w:tcMar>
              <w:top w:w="110" w:type="dxa"/>
              <w:start w:w="120" w:type="dxa"/>
              <w:bottom w:w="110" w:type="dxa"/>
              <w:end w:w="120" w:type="dxa"/>
            </w:tcMar>
            <w:vAlign w:val="top"/>
          </w:tcPr>
          <w:p>
            <w:r/>
            <w:r>
              <w:rPr>
                <w:rFonts w:ascii="Arial" w:hAnsi="Arial"/>
                <w:color w:val="273137"/>
                <w:sz w:val="18"/>
              </w:rPr>
              <w:t>Must confirm marketplace, privacy, tourism, property, payments and contract requirements</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Iraqi chartered accountant</w:t>
            </w:r>
          </w:p>
        </w:tc>
        <w:tc>
          <w:tcPr>
            <w:tcW w:type="dxa" w:w="6667"/>
            <w:shd w:fill="FFFFFF"/>
            <w:tcMar>
              <w:top w:w="110" w:type="dxa"/>
              <w:start w:w="120" w:type="dxa"/>
              <w:bottom w:w="110" w:type="dxa"/>
              <w:end w:w="120" w:type="dxa"/>
            </w:tcMar>
            <w:vAlign w:val="top"/>
          </w:tcPr>
          <w:p>
            <w:r/>
            <w:r>
              <w:rPr>
                <w:rFonts w:ascii="Arial" w:hAnsi="Arial"/>
                <w:color w:val="273137"/>
                <w:sz w:val="18"/>
              </w:rPr>
              <w:t>Must confirm local tax, bookkeeping, receipts and reporting</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One-off UK cross-border tax review</w:t>
            </w:r>
          </w:p>
        </w:tc>
        <w:tc>
          <w:tcPr>
            <w:tcW w:type="dxa" w:w="6667"/>
            <w:shd w:fill="F3F5F5"/>
            <w:tcMar>
              <w:top w:w="110" w:type="dxa"/>
              <w:start w:w="120" w:type="dxa"/>
              <w:bottom w:w="110" w:type="dxa"/>
              <w:end w:w="120" w:type="dxa"/>
            </w:tcMar>
            <w:vAlign w:val="top"/>
          </w:tcPr>
          <w:p>
            <w:r/>
            <w:r>
              <w:rPr>
                <w:rFonts w:ascii="Arial" w:hAnsi="Arial"/>
                <w:color w:val="273137"/>
                <w:sz w:val="18"/>
              </w:rPr>
              <w:t>Required only to validate the relationship with Zain's existing UK company</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Iraqi platform insurance</w:t>
            </w:r>
          </w:p>
        </w:tc>
        <w:tc>
          <w:tcPr>
            <w:tcW w:type="dxa" w:w="6667"/>
            <w:shd w:fill="FFFFFF"/>
            <w:tcMar>
              <w:top w:w="110" w:type="dxa"/>
              <w:start w:w="120" w:type="dxa"/>
              <w:bottom w:w="110" w:type="dxa"/>
              <w:end w:w="120" w:type="dxa"/>
            </w:tcMar>
            <w:vAlign w:val="top"/>
          </w:tcPr>
          <w:p>
            <w:r/>
            <w:r>
              <w:rPr>
                <w:rFonts w:ascii="Arial" w:hAnsi="Arial"/>
                <w:color w:val="273137"/>
                <w:sz w:val="18"/>
              </w:rPr>
              <w:t>Need local advice on required cover and insurer quotations</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Independent penetration test</w:t>
            </w:r>
          </w:p>
        </w:tc>
        <w:tc>
          <w:tcPr>
            <w:tcW w:type="dxa" w:w="6667"/>
            <w:shd w:fill="F3F5F5"/>
            <w:tcMar>
              <w:top w:w="110" w:type="dxa"/>
              <w:start w:w="120" w:type="dxa"/>
              <w:bottom w:w="110" w:type="dxa"/>
              <w:end w:w="120" w:type="dxa"/>
            </w:tcMar>
            <w:vAlign w:val="top"/>
          </w:tcPr>
          <w:p>
            <w:r/>
            <w:r>
              <w:rPr>
                <w:rFonts w:ascii="Arial" w:hAnsi="Arial"/>
                <w:color w:val="273137"/>
                <w:sz w:val="18"/>
              </w:rPr>
              <w:t>Scope and supplier to be selected before launch</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Phone verification and SMS</w:t>
            </w:r>
          </w:p>
        </w:tc>
        <w:tc>
          <w:tcPr>
            <w:tcW w:type="dxa" w:w="6667"/>
            <w:shd w:fill="FFFFFF"/>
            <w:tcMar>
              <w:top w:w="110" w:type="dxa"/>
              <w:start w:w="120" w:type="dxa"/>
              <w:bottom w:w="110" w:type="dxa"/>
              <w:end w:w="120" w:type="dxa"/>
            </w:tcMar>
            <w:vAlign w:val="top"/>
          </w:tcPr>
          <w:p>
            <w:r/>
            <w:r>
              <w:rPr>
                <w:rFonts w:ascii="Arial" w:hAnsi="Arial"/>
                <w:color w:val="273137"/>
                <w:sz w:val="18"/>
              </w:rPr>
              <w:t>Iraqi delivery, sender identity and unit pricing must be tested</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Automatic translation</w:t>
            </w:r>
          </w:p>
        </w:tc>
        <w:tc>
          <w:tcPr>
            <w:tcW w:type="dxa" w:w="6667"/>
            <w:shd w:fill="F3F5F5"/>
            <w:tcMar>
              <w:top w:w="110" w:type="dxa"/>
              <w:start w:w="120" w:type="dxa"/>
              <w:bottom w:w="110" w:type="dxa"/>
              <w:end w:w="120" w:type="dxa"/>
            </w:tcMar>
            <w:vAlign w:val="top"/>
          </w:tcPr>
          <w:p>
            <w:r/>
            <w:r>
              <w:rPr>
                <w:rFonts w:ascii="Arial" w:hAnsi="Arial"/>
                <w:color w:val="273137"/>
                <w:sz w:val="18"/>
              </w:rPr>
              <w:t>Arabic and Sorani quality, actual model usage and price must be validated</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Payment-provider commercial terms</w:t>
            </w:r>
          </w:p>
        </w:tc>
        <w:tc>
          <w:tcPr>
            <w:tcW w:type="dxa" w:w="6667"/>
            <w:shd w:fill="FFFFFF"/>
            <w:tcMar>
              <w:top w:w="110" w:type="dxa"/>
              <w:start w:w="120" w:type="dxa"/>
              <w:bottom w:w="110" w:type="dxa"/>
              <w:end w:w="120" w:type="dxa"/>
            </w:tcMar>
            <w:vAlign w:val="top"/>
          </w:tcPr>
          <w:p>
            <w:r/>
            <w:r>
              <w:rPr>
                <w:rFonts w:ascii="Arial" w:hAnsi="Arial"/>
                <w:color w:val="273137"/>
                <w:sz w:val="18"/>
              </w:rPr>
              <w:t>Marketplace functions and final settlement and refund charges need written confirmation</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Customer-support staffing</w:t>
            </w:r>
          </w:p>
        </w:tc>
        <w:tc>
          <w:tcPr>
            <w:tcW w:type="dxa" w:w="6667"/>
            <w:shd w:fill="F3F5F5"/>
            <w:tcMar>
              <w:top w:w="110" w:type="dxa"/>
              <w:start w:w="120" w:type="dxa"/>
              <w:bottom w:w="110" w:type="dxa"/>
              <w:end w:w="120" w:type="dxa"/>
            </w:tcMar>
            <w:vAlign w:val="top"/>
          </w:tcPr>
          <w:p>
            <w:r/>
            <w:r>
              <w:rPr>
                <w:rFonts w:ascii="Arial" w:hAnsi="Arial"/>
                <w:color w:val="273137"/>
                <w:sz w:val="18"/>
              </w:rPr>
              <w:t>Founder-managed initially, later staffing is unknown</w:t>
            </w:r>
          </w:p>
        </w:tc>
      </w:tr>
      <w:tr>
        <w:trPr>
          <w:cantSplit/>
        </w:trPr>
        <w:tc>
          <w:tcPr>
            <w:tcW w:type="dxa" w:w="2857"/>
            <w:shd w:fill="FFFFFF"/>
            <w:tcMar>
              <w:top w:w="110" w:type="dxa"/>
              <w:start w:w="120" w:type="dxa"/>
              <w:bottom w:w="110" w:type="dxa"/>
              <w:end w:w="120" w:type="dxa"/>
            </w:tcMar>
            <w:vAlign w:val="top"/>
          </w:tcPr>
          <w:p>
            <w:r>
              <w:rPr>
                <w:b/>
              </w:rPr>
            </w:r>
            <w:r>
              <w:rPr>
                <w:rFonts w:ascii="Arial" w:hAnsi="Arial"/>
                <w:b/>
                <w:color w:val="273137"/>
                <w:sz w:val="18"/>
              </w:rPr>
              <w:t>Marketing and paid launch activity</w:t>
            </w:r>
          </w:p>
        </w:tc>
        <w:tc>
          <w:tcPr>
            <w:tcW w:type="dxa" w:w="6667"/>
            <w:shd w:fill="FFFFFF"/>
            <w:tcMar>
              <w:top w:w="110" w:type="dxa"/>
              <w:start w:w="120" w:type="dxa"/>
              <w:bottom w:w="110" w:type="dxa"/>
              <w:end w:w="120" w:type="dxa"/>
            </w:tcMar>
            <w:vAlign w:val="top"/>
          </w:tcPr>
          <w:p>
            <w:r/>
            <w:r>
              <w:rPr>
                <w:rFonts w:ascii="Arial" w:hAnsi="Arial"/>
                <w:color w:val="273137"/>
                <w:sz w:val="18"/>
              </w:rPr>
              <w:t>To be agreed separately</w:t>
            </w:r>
          </w:p>
        </w:tc>
      </w:tr>
      <w:tr>
        <w:trPr>
          <w:cantSplit/>
        </w:trPr>
        <w:tc>
          <w:tcPr>
            <w:tcW w:type="dxa" w:w="2857"/>
            <w:shd w:fill="F3F5F5"/>
            <w:tcMar>
              <w:top w:w="110" w:type="dxa"/>
              <w:start w:w="120" w:type="dxa"/>
              <w:bottom w:w="110" w:type="dxa"/>
              <w:end w:w="120" w:type="dxa"/>
            </w:tcMar>
            <w:vAlign w:val="top"/>
          </w:tcPr>
          <w:p>
            <w:r>
              <w:rPr>
                <w:b/>
              </w:rPr>
            </w:r>
            <w:r>
              <w:rPr>
                <w:rFonts w:ascii="Arial" w:hAnsi="Arial"/>
                <w:b/>
                <w:color w:val="273137"/>
                <w:sz w:val="18"/>
              </w:rPr>
              <w:t>Professional property photography</w:t>
            </w:r>
          </w:p>
        </w:tc>
        <w:tc>
          <w:tcPr>
            <w:tcW w:type="dxa" w:w="6667"/>
            <w:shd w:fill="F3F5F5"/>
            <w:tcMar>
              <w:top w:w="110" w:type="dxa"/>
              <w:start w:w="120" w:type="dxa"/>
              <w:bottom w:w="110" w:type="dxa"/>
              <w:end w:w="120" w:type="dxa"/>
            </w:tcMar>
            <w:vAlign w:val="top"/>
          </w:tcPr>
          <w:p>
            <w:r/>
            <w:r>
              <w:rPr>
                <w:rFonts w:ascii="Arial" w:hAnsi="Arial"/>
                <w:color w:val="273137"/>
                <w:sz w:val="18"/>
              </w:rPr>
              <w:t>Owners provide images initially</w:t>
            </w:r>
          </w:p>
        </w:tc>
      </w:tr>
    </w:tbl>
    <w:p>
      <w:pPr>
        <w:spacing w:after="20"/>
      </w:pPr>
    </w:p>
    <w:p>
      <w:pPr>
        <w:pStyle w:val="Heading1"/>
        <w:pageBreakBefore/>
        <w:pBdr>
          <w:bottom w:val="single" w:sz="10" w:space="7" w:color="2F7868"/>
        </w:pBdr>
      </w:pPr>
      <w:r>
        <w:t>4. Phase 2: Native mobile applications</w:t>
      </w:r>
    </w:p>
    <w:p>
      <w:r>
        <w:rPr>
          <w:rFonts w:ascii="Arial" w:hAnsi="Arial"/>
          <w:color w:val="273137"/>
          <w:sz w:val="21"/>
        </w:rPr>
        <w:t>Native iOS and Android applications are deferred until after the web launch. Phase 1 operating costs continue during Phase 2.</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3400"/>
            <w:shd w:fill="1E2B33"/>
            <w:tcMar>
              <w:top w:w="105" w:type="dxa"/>
              <w:start w:w="120" w:type="dxa"/>
              <w:bottom w:w="105" w:type="dxa"/>
              <w:end w:w="120" w:type="dxa"/>
            </w:tcMar>
            <w:vAlign w:val="center"/>
          </w:tcPr>
          <w:p>
            <w:r>
              <w:rPr>
                <w:b/>
              </w:rPr>
            </w:r>
            <w:r>
              <w:rPr>
                <w:rFonts w:ascii="Arial" w:hAnsi="Arial"/>
                <w:b/>
                <w:color w:val="FFFFFF"/>
                <w:sz w:val="19"/>
              </w:rPr>
              <w:t>Cost</w:t>
            </w:r>
          </w:p>
        </w:tc>
        <w:tc>
          <w:tcPr>
            <w:tcW w:type="dxa" w:w="3400"/>
            <w:shd w:fill="1E2B33"/>
            <w:tcMar>
              <w:top w:w="105" w:type="dxa"/>
              <w:start w:w="120" w:type="dxa"/>
              <w:bottom w:w="105" w:type="dxa"/>
              <w:end w:w="120" w:type="dxa"/>
            </w:tcMar>
            <w:vAlign w:val="center"/>
          </w:tcPr>
          <w:p>
            <w:r>
              <w:rPr>
                <w:b/>
              </w:rPr>
            </w:r>
            <w:r>
              <w:rPr>
                <w:rFonts w:ascii="Arial" w:hAnsi="Arial"/>
                <w:b/>
                <w:color w:val="FFFFFF"/>
                <w:sz w:val="19"/>
              </w:rPr>
              <w:t>Allowance</w:t>
            </w:r>
          </w:p>
        </w:tc>
        <w:tc>
          <w:tcPr>
            <w:tcW w:type="dxa" w:w="3400"/>
            <w:shd w:fill="1E2B33"/>
            <w:tcMar>
              <w:top w:w="105" w:type="dxa"/>
              <w:start w:w="120" w:type="dxa"/>
              <w:bottom w:w="105" w:type="dxa"/>
              <w:end w:w="120" w:type="dxa"/>
            </w:tcMar>
            <w:vAlign w:val="center"/>
          </w:tcPr>
          <w:p>
            <w:r>
              <w:rPr>
                <w:b/>
              </w:rPr>
            </w:r>
            <w:r>
              <w:rPr>
                <w:rFonts w:ascii="Arial" w:hAnsi="Arial"/>
                <w:b/>
                <w:color w:val="FFFFFF"/>
                <w:sz w:val="19"/>
              </w:rPr>
              <w:t>Notes</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Native application development</w:t>
            </w:r>
          </w:p>
        </w:tc>
        <w:tc>
          <w:tcPr>
            <w:tcW w:type="dxa" w:w="3175"/>
            <w:shd w:fill="FFFFFF"/>
            <w:tcMar>
              <w:top w:w="110" w:type="dxa"/>
              <w:start w:w="120" w:type="dxa"/>
              <w:bottom w:w="110" w:type="dxa"/>
              <w:end w:w="120" w:type="dxa"/>
            </w:tcMar>
            <w:vAlign w:val="top"/>
          </w:tcPr>
          <w:p>
            <w:r/>
            <w:r>
              <w:rPr>
                <w:rFonts w:ascii="Arial" w:hAnsi="Arial"/>
                <w:b/>
                <w:color w:val="273137"/>
                <w:sz w:val="18"/>
              </w:rPr>
              <w:t>£4,000/month for a TBC duration</w:t>
            </w:r>
          </w:p>
        </w:tc>
        <w:tc>
          <w:tcPr>
            <w:tcW w:type="dxa" w:w="3175"/>
            <w:shd w:fill="FFFFFF"/>
            <w:tcMar>
              <w:top w:w="110" w:type="dxa"/>
              <w:start w:w="120" w:type="dxa"/>
              <w:bottom w:w="110" w:type="dxa"/>
              <w:end w:w="120" w:type="dxa"/>
            </w:tcMar>
            <w:vAlign w:val="top"/>
          </w:tcPr>
          <w:p>
            <w:r/>
            <w:r>
              <w:rPr>
                <w:rFonts w:ascii="Arial" w:hAnsi="Arial"/>
                <w:color w:val="273137"/>
                <w:sz w:val="18"/>
              </w:rPr>
              <w:t>No separate outside developer fee is assumed</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Apple Developer Program</w:t>
            </w:r>
          </w:p>
        </w:tc>
        <w:tc>
          <w:tcPr>
            <w:tcW w:type="dxa" w:w="3175"/>
            <w:shd w:fill="F3F5F5"/>
            <w:tcMar>
              <w:top w:w="110" w:type="dxa"/>
              <w:start w:w="120" w:type="dxa"/>
              <w:bottom w:w="110" w:type="dxa"/>
              <w:end w:w="120" w:type="dxa"/>
            </w:tcMar>
            <w:vAlign w:val="top"/>
          </w:tcPr>
          <w:p>
            <w:r/>
            <w:r>
              <w:rPr>
                <w:rFonts w:ascii="Arial" w:hAnsi="Arial"/>
                <w:b/>
                <w:color w:val="273137"/>
                <w:sz w:val="18"/>
              </w:rPr>
              <w:t>$99/year</w:t>
            </w:r>
          </w:p>
        </w:tc>
        <w:tc>
          <w:tcPr>
            <w:tcW w:type="dxa" w:w="3175"/>
            <w:shd w:fill="F3F5F5"/>
            <w:tcMar>
              <w:top w:w="110" w:type="dxa"/>
              <w:start w:w="120" w:type="dxa"/>
              <w:bottom w:w="110" w:type="dxa"/>
              <w:end w:w="120" w:type="dxa"/>
            </w:tcMar>
            <w:vAlign w:val="top"/>
          </w:tcPr>
          <w:p>
            <w:r/>
            <w:r>
              <w:rPr>
                <w:rFonts w:ascii="Arial" w:hAnsi="Arial"/>
                <w:color w:val="273137"/>
                <w:sz w:val="18"/>
              </w:rPr>
              <w:t>Organisation account. A D-U-N-S number is free</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Google Play full distribution</w:t>
            </w:r>
          </w:p>
        </w:tc>
        <w:tc>
          <w:tcPr>
            <w:tcW w:type="dxa" w:w="3175"/>
            <w:shd w:fill="FFFFFF"/>
            <w:tcMar>
              <w:top w:w="110" w:type="dxa"/>
              <w:start w:w="120" w:type="dxa"/>
              <w:bottom w:w="110" w:type="dxa"/>
              <w:end w:w="120" w:type="dxa"/>
            </w:tcMar>
            <w:vAlign w:val="top"/>
          </w:tcPr>
          <w:p>
            <w:r/>
            <w:r>
              <w:rPr>
                <w:rFonts w:ascii="Arial" w:hAnsi="Arial"/>
                <w:b/>
                <w:color w:val="273137"/>
                <w:sz w:val="18"/>
              </w:rPr>
              <w:t>$25 one time</w:t>
            </w:r>
          </w:p>
        </w:tc>
        <w:tc>
          <w:tcPr>
            <w:tcW w:type="dxa" w:w="3175"/>
            <w:shd w:fill="FFFFFF"/>
            <w:tcMar>
              <w:top w:w="110" w:type="dxa"/>
              <w:start w:w="120" w:type="dxa"/>
              <w:bottom w:w="110" w:type="dxa"/>
              <w:end w:w="120" w:type="dxa"/>
            </w:tcMar>
            <w:vAlign w:val="top"/>
          </w:tcPr>
          <w:p>
            <w:r/>
            <w:r>
              <w:rPr>
                <w:rFonts w:ascii="Arial" w:hAnsi="Arial"/>
                <w:color w:val="273137"/>
                <w:sz w:val="18"/>
              </w:rPr>
              <w:t>Organisation account</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Physical test devices</w:t>
            </w:r>
          </w:p>
        </w:tc>
        <w:tc>
          <w:tcPr>
            <w:tcW w:type="dxa" w:w="3175"/>
            <w:shd w:fill="F3F5F5"/>
            <w:tcMar>
              <w:top w:w="110" w:type="dxa"/>
              <w:start w:w="120" w:type="dxa"/>
              <w:bottom w:w="110" w:type="dxa"/>
              <w:end w:w="120" w:type="dxa"/>
            </w:tcMar>
            <w:vAlign w:val="top"/>
          </w:tcPr>
          <w:p>
            <w:r/>
            <w:r>
              <w:rPr>
                <w:rFonts w:ascii="Arial" w:hAnsi="Arial"/>
                <w:b/>
                <w:color w:val="273137"/>
                <w:sz w:val="18"/>
              </w:rPr>
              <w:t>$0</w:t>
            </w:r>
          </w:p>
        </w:tc>
        <w:tc>
          <w:tcPr>
            <w:tcW w:type="dxa" w:w="3175"/>
            <w:shd w:fill="F3F5F5"/>
            <w:tcMar>
              <w:top w:w="110" w:type="dxa"/>
              <w:start w:w="120" w:type="dxa"/>
              <w:bottom w:w="110" w:type="dxa"/>
              <w:end w:w="120" w:type="dxa"/>
            </w:tcMar>
            <w:vAlign w:val="top"/>
          </w:tcPr>
          <w:p>
            <w:r/>
            <w:r>
              <w:rPr>
                <w:rFonts w:ascii="Arial" w:hAnsi="Arial"/>
                <w:color w:val="273137"/>
                <w:sz w:val="18"/>
              </w:rPr>
              <w:t>Zain has an iPhone and Yasir has an Android device</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App-store assets</w:t>
            </w:r>
          </w:p>
        </w:tc>
        <w:tc>
          <w:tcPr>
            <w:tcW w:type="dxa" w:w="3175"/>
            <w:shd w:fill="FFFFFF"/>
            <w:tcMar>
              <w:top w:w="110" w:type="dxa"/>
              <w:start w:w="120" w:type="dxa"/>
              <w:bottom w:w="110" w:type="dxa"/>
              <w:end w:w="120" w:type="dxa"/>
            </w:tcMar>
            <w:vAlign w:val="top"/>
          </w:tcPr>
          <w:p>
            <w:r/>
            <w:r>
              <w:rPr>
                <w:rFonts w:ascii="Arial" w:hAnsi="Arial"/>
                <w:b/>
                <w:color w:val="273137"/>
                <w:sz w:val="18"/>
              </w:rPr>
              <w:t>$0 additional</w:t>
            </w:r>
          </w:p>
        </w:tc>
        <w:tc>
          <w:tcPr>
            <w:tcW w:type="dxa" w:w="3175"/>
            <w:shd w:fill="FFFFFF"/>
            <w:tcMar>
              <w:top w:w="110" w:type="dxa"/>
              <w:start w:w="120" w:type="dxa"/>
              <w:bottom w:w="110" w:type="dxa"/>
              <w:end w:w="120" w:type="dxa"/>
            </w:tcMar>
            <w:vAlign w:val="top"/>
          </w:tcPr>
          <w:p>
            <w:r/>
            <w:r>
              <w:rPr>
                <w:rFonts w:ascii="Arial" w:hAnsi="Arial"/>
                <w:color w:val="273137"/>
                <w:sz w:val="18"/>
              </w:rPr>
              <w:t>AI-assisted artwork plus real product screenshots</w:t>
            </w:r>
          </w:p>
        </w:tc>
      </w:tr>
      <w:tr>
        <w:trPr>
          <w:cantSplit/>
        </w:trPr>
        <w:tc>
          <w:tcPr>
            <w:tcW w:type="dxa" w:w="3175"/>
            <w:shd w:fill="F3F5F5"/>
            <w:tcMar>
              <w:top w:w="110" w:type="dxa"/>
              <w:start w:w="120" w:type="dxa"/>
              <w:bottom w:w="110" w:type="dxa"/>
              <w:end w:w="120" w:type="dxa"/>
            </w:tcMar>
            <w:vAlign w:val="top"/>
          </w:tcPr>
          <w:p>
            <w:r/>
            <w:r>
              <w:rPr>
                <w:rFonts w:ascii="Arial" w:hAnsi="Arial"/>
                <w:color w:val="273137"/>
                <w:sz w:val="18"/>
              </w:rPr>
              <w:t>App-store commission on cottage bookings</w:t>
            </w:r>
          </w:p>
        </w:tc>
        <w:tc>
          <w:tcPr>
            <w:tcW w:type="dxa" w:w="3175"/>
            <w:shd w:fill="F3F5F5"/>
            <w:tcMar>
              <w:top w:w="110" w:type="dxa"/>
              <w:start w:w="120" w:type="dxa"/>
              <w:bottom w:w="110" w:type="dxa"/>
              <w:end w:w="120" w:type="dxa"/>
            </w:tcMar>
            <w:vAlign w:val="top"/>
          </w:tcPr>
          <w:p>
            <w:r/>
            <w:r>
              <w:rPr>
                <w:rFonts w:ascii="Arial" w:hAnsi="Arial"/>
                <w:b/>
                <w:color w:val="273137"/>
                <w:sz w:val="18"/>
              </w:rPr>
              <w:t>$0</w:t>
            </w:r>
          </w:p>
        </w:tc>
        <w:tc>
          <w:tcPr>
            <w:tcW w:type="dxa" w:w="3175"/>
            <w:shd w:fill="F3F5F5"/>
            <w:tcMar>
              <w:top w:w="110" w:type="dxa"/>
              <w:start w:w="120" w:type="dxa"/>
              <w:bottom w:w="110" w:type="dxa"/>
              <w:end w:w="120" w:type="dxa"/>
            </w:tcMar>
            <w:vAlign w:val="top"/>
          </w:tcPr>
          <w:p>
            <w:r/>
            <w:r>
              <w:rPr>
                <w:rFonts w:ascii="Arial" w:hAnsi="Arial"/>
                <w:color w:val="273137"/>
                <w:sz w:val="18"/>
              </w:rPr>
              <w:t>Physical-service transactions use the Iraqi payment provider</w:t>
            </w:r>
          </w:p>
        </w:tc>
      </w:tr>
      <w:tr>
        <w:trPr>
          <w:cantSplit/>
        </w:trPr>
        <w:tc>
          <w:tcPr>
            <w:tcW w:type="dxa" w:w="3175"/>
            <w:shd w:fill="FFFFFF"/>
            <w:tcMar>
              <w:top w:w="110" w:type="dxa"/>
              <w:start w:w="120" w:type="dxa"/>
              <w:bottom w:w="110" w:type="dxa"/>
              <w:end w:w="120" w:type="dxa"/>
            </w:tcMar>
            <w:vAlign w:val="top"/>
          </w:tcPr>
          <w:p>
            <w:r/>
            <w:r>
              <w:rPr>
                <w:rFonts w:ascii="Arial" w:hAnsi="Arial"/>
                <w:color w:val="273137"/>
                <w:sz w:val="18"/>
              </w:rPr>
              <w:t>Additional infrastructure usage</w:t>
            </w:r>
          </w:p>
        </w:tc>
        <w:tc>
          <w:tcPr>
            <w:tcW w:type="dxa" w:w="3175"/>
            <w:shd w:fill="FFFFFF"/>
            <w:tcMar>
              <w:top w:w="110" w:type="dxa"/>
              <w:start w:w="120" w:type="dxa"/>
              <w:bottom w:w="110" w:type="dxa"/>
              <w:end w:w="120" w:type="dxa"/>
            </w:tcMar>
            <w:vAlign w:val="top"/>
          </w:tcPr>
          <w:p>
            <w:r/>
            <w:r>
              <w:rPr>
                <w:rFonts w:ascii="Arial" w:hAnsi="Arial"/>
                <w:b/>
                <w:color w:val="273137"/>
                <w:sz w:val="18"/>
              </w:rPr>
              <w:t>TBC</w:t>
            </w:r>
          </w:p>
        </w:tc>
        <w:tc>
          <w:tcPr>
            <w:tcW w:type="dxa" w:w="3175"/>
            <w:shd w:fill="FFFFFF"/>
            <w:tcMar>
              <w:top w:w="110" w:type="dxa"/>
              <w:start w:w="120" w:type="dxa"/>
              <w:bottom w:w="110" w:type="dxa"/>
              <w:end w:w="120" w:type="dxa"/>
            </w:tcMar>
            <w:vAlign w:val="top"/>
          </w:tcPr>
          <w:p>
            <w:r/>
            <w:r>
              <w:rPr>
                <w:rFonts w:ascii="Arial" w:hAnsi="Arial"/>
                <w:color w:val="273137"/>
                <w:sz w:val="18"/>
              </w:rPr>
              <w:t>Depends on mobile adoption and notification volume</w:t>
            </w:r>
          </w:p>
        </w:tc>
      </w:tr>
    </w:tbl>
    <w:p>
      <w:pPr>
        <w:spacing w:after="20"/>
      </w:pPr>
    </w:p>
    <w:p>
      <w:r>
        <w:rPr>
          <w:rFonts w:ascii="Arial" w:hAnsi="Arial"/>
          <w:color w:val="273137"/>
          <w:sz w:val="21"/>
        </w:rPr>
        <w:t xml:space="preserve">The known incremental cost for the first app year is therefore </w:t>
      </w:r>
      <w:r>
        <w:rPr>
          <w:rFonts w:ascii="Arial" w:hAnsi="Arial"/>
          <w:b/>
          <w:color w:val="273137"/>
          <w:sz w:val="21"/>
        </w:rPr>
        <w:t>$124 plus £4,000 for each active development month</w:t>
      </w:r>
      <w:r>
        <w:rPr>
          <w:rFonts w:ascii="Arial" w:hAnsi="Arial"/>
          <w:color w:val="273137"/>
          <w:sz w:val="21"/>
        </w:rPr>
        <w:t>. The development duration is not yet estimated.</w:t>
      </w:r>
    </w:p>
    <w:p>
      <w:pPr>
        <w:pStyle w:val="Heading1"/>
        <w:pageBreakBefore/>
        <w:pBdr>
          <w:bottom w:val="single" w:sz="10" w:space="7" w:color="2F7868"/>
        </w:pBdr>
      </w:pPr>
      <w:r>
        <w:t>5. Decisions required before spending</w:t>
      </w:r>
    </w:p>
    <w:p>
      <w:pPr>
        <w:ind w:left="312" w:hanging="142"/>
      </w:pPr>
      <w:r>
        <w:rPr>
          <w:rFonts w:ascii="Arial" w:hAnsi="Arial"/>
          <w:color w:val="273137"/>
          <w:sz w:val="19"/>
        </w:rPr>
        <w:t>1. Confirm whether a paid GitHub Team seat is required or GitHub Free is sufficient.</w:t>
      </w:r>
    </w:p>
    <w:p>
      <w:pPr>
        <w:ind w:left="312" w:hanging="142"/>
      </w:pPr>
      <w:r>
        <w:rPr>
          <w:rFonts w:ascii="Arial" w:hAnsi="Arial"/>
          <w:color w:val="273137"/>
          <w:sz w:val="19"/>
        </w:rPr>
        <w:t xml:space="preserve">2. Approve the final </w:t>
      </w:r>
      <w:r>
        <w:rPr>
          <w:rFonts w:ascii="Courier New" w:hAnsi="Courier New"/>
          <w:color w:val="273137"/>
          <w:sz w:val="18"/>
        </w:rPr>
        <w:t>muntajaa.com</w:t>
      </w:r>
      <w:r>
        <w:rPr>
          <w:rFonts w:ascii="Arial" w:hAnsi="Arial"/>
          <w:color w:val="273137"/>
          <w:sz w:val="19"/>
        </w:rPr>
        <w:t xml:space="preserve"> purchase price within the $10 to $28 range.</w:t>
      </w:r>
    </w:p>
    <w:p>
      <w:pPr>
        <w:ind w:left="312" w:hanging="142"/>
      </w:pPr>
      <w:r>
        <w:rPr>
          <w:rFonts w:ascii="Arial" w:hAnsi="Arial"/>
          <w:color w:val="273137"/>
          <w:sz w:val="19"/>
        </w:rPr>
        <w:t>3. Select the Iraqi company registry after local legal and accounting advice.</w:t>
      </w:r>
    </w:p>
    <w:p>
      <w:pPr>
        <w:ind w:left="312" w:hanging="142"/>
      </w:pPr>
      <w:r>
        <w:rPr>
          <w:rFonts w:ascii="Arial" w:hAnsi="Arial"/>
          <w:color w:val="273137"/>
          <w:sz w:val="19"/>
        </w:rPr>
        <w:t>4. Validate Qi Card first and compare its written offer with ZainCash and AsiaPay.</w:t>
      </w:r>
    </w:p>
    <w:p>
      <w:pPr>
        <w:ind w:left="312" w:hanging="142"/>
      </w:pPr>
      <w:r>
        <w:rPr>
          <w:rFonts w:ascii="Arial" w:hAnsi="Arial"/>
          <w:color w:val="273137"/>
          <w:sz w:val="19"/>
        </w:rPr>
        <w:t>5. Obtain legal approval of the owner-document checklist and retention schedule before storage goes live.</w:t>
      </w:r>
    </w:p>
    <w:p>
      <w:pPr>
        <w:ind w:left="312" w:hanging="142"/>
      </w:pPr>
      <w:r>
        <w:rPr>
          <w:rFonts w:ascii="Arial" w:hAnsi="Arial"/>
          <w:color w:val="273137"/>
          <w:sz w:val="19"/>
        </w:rPr>
        <w:t xml:space="preserve">6. Quality-test </w:t>
      </w:r>
      <w:r>
        <w:rPr>
          <w:rFonts w:ascii="Courier New" w:hAnsi="Courier New"/>
          <w:color w:val="273137"/>
          <w:sz w:val="18"/>
        </w:rPr>
        <w:t>gpt-5.6-luna</w:t>
      </w:r>
      <w:r>
        <w:rPr>
          <w:rFonts w:ascii="Arial" w:hAnsi="Arial"/>
          <w:color w:val="273137"/>
          <w:sz w:val="19"/>
        </w:rPr>
        <w:t xml:space="preserve"> with Arabic and Sorani reviewers, validate the </w:t>
      </w:r>
      <w:r>
        <w:rPr>
          <w:rFonts w:ascii="Courier New" w:hAnsi="Courier New"/>
          <w:color w:val="273137"/>
          <w:sz w:val="18"/>
        </w:rPr>
        <w:t>gpt-5.6-terra</w:t>
      </w:r>
      <w:r>
        <w:rPr>
          <w:rFonts w:ascii="Arial" w:hAnsi="Arial"/>
          <w:color w:val="273137"/>
          <w:sz w:val="19"/>
        </w:rPr>
        <w:t xml:space="preserve"> or human escalation path, then cost measured production usage.</w:t>
      </w:r>
    </w:p>
    <w:p>
      <w:pPr>
        <w:ind w:left="312" w:hanging="142"/>
      </w:pPr>
      <w:r>
        <w:rPr>
          <w:rFonts w:ascii="Arial" w:hAnsi="Arial"/>
          <w:color w:val="273137"/>
          <w:sz w:val="19"/>
        </w:rPr>
        <w:t>7. Obtain the remaining TBC quotations and then calculate the 10% one-off contingency.</w:t>
      </w:r>
    </w:p>
    <w:p>
      <w:pPr>
        <w:ind w:left="312" w:hanging="142"/>
      </w:pPr>
      <w:r>
        <w:rPr>
          <w:rFonts w:ascii="Arial" w:hAnsi="Arial"/>
          <w:color w:val="273137"/>
          <w:sz w:val="19"/>
        </w:rPr>
        <w:t>8. Approve Phase 2 timing before opening app-store organisation accounts.</w:t>
      </w:r>
    </w:p>
    <w:p>
      <w:pPr>
        <w:pStyle w:val="Heading1"/>
        <w:pageBreakBefore/>
        <w:pBdr>
          <w:bottom w:val="single" w:sz="10" w:space="7" w:color="2F7868"/>
        </w:pBdr>
      </w:pPr>
      <w:r>
        <w:t>6. Budget acknowledgement</w:t>
      </w:r>
    </w:p>
    <w:p>
      <w:r>
        <w:rPr>
          <w:rFonts w:ascii="Arial" w:hAnsi="Arial"/>
          <w:color w:val="273137"/>
          <w:sz w:val="21"/>
        </w:rPr>
        <w:t>By approving this document, the client confirms that:</w:t>
      </w:r>
    </w:p>
    <w:p>
      <w:pPr>
        <w:ind w:left="227" w:hanging="227"/>
      </w:pPr>
      <w:r>
        <w:rPr>
          <w:color w:val="2F7868"/>
          <w:sz w:val="22"/>
        </w:rPr>
        <w:t xml:space="preserve">☐  </w:t>
      </w:r>
      <w:r>
        <w:rPr>
          <w:rFonts w:ascii="Arial" w:hAnsi="Arial"/>
          <w:color w:val="273137"/>
          <w:sz w:val="19"/>
        </w:rPr>
        <w:t>The £4,000 monthly development and project-management cost is understood.</w:t>
      </w:r>
    </w:p>
    <w:p>
      <w:pPr>
        <w:ind w:left="227" w:hanging="227"/>
      </w:pPr>
      <w:r>
        <w:rPr>
          <w:color w:val="2F7868"/>
          <w:sz w:val="22"/>
        </w:rPr>
        <w:t xml:space="preserve">☐  </w:t>
      </w:r>
      <w:r>
        <w:rPr>
          <w:rFonts w:ascii="Arial" w:hAnsi="Arial"/>
          <w:color w:val="273137"/>
          <w:sz w:val="19"/>
        </w:rPr>
        <w:t>Cloudflare Workers and Supabase Pro are the approved MVP infrastructure baseline.</w:t>
      </w:r>
    </w:p>
    <w:p>
      <w:pPr>
        <w:ind w:left="227" w:hanging="227"/>
      </w:pPr>
      <w:r>
        <w:rPr>
          <w:color w:val="2F7868"/>
          <w:sz w:val="22"/>
        </w:rPr>
        <w:t xml:space="preserve">☐  </w:t>
      </w:r>
      <w:r>
        <w:rPr>
          <w:rFonts w:ascii="Arial" w:hAnsi="Arial"/>
          <w:color w:val="273137"/>
          <w:sz w:val="19"/>
        </w:rPr>
        <w:t>The known recurring, annual and one-off costs are accepted as planning allowances.</w:t>
      </w:r>
    </w:p>
    <w:p>
      <w:pPr>
        <w:ind w:left="227" w:hanging="227"/>
      </w:pPr>
      <w:r>
        <w:rPr>
          <w:color w:val="2F7868"/>
          <w:sz w:val="22"/>
        </w:rPr>
        <w:t xml:space="preserve">☐  </w:t>
      </w:r>
      <w:r>
        <w:rPr>
          <w:rFonts w:ascii="Arial" w:hAnsi="Arial"/>
          <w:color w:val="273137"/>
          <w:sz w:val="19"/>
        </w:rPr>
        <w:t>Payment processing and automatic translation remain TBC, not zero.</w:t>
      </w:r>
    </w:p>
    <w:p>
      <w:pPr>
        <w:ind w:left="227" w:hanging="227"/>
      </w:pPr>
      <w:r>
        <w:rPr>
          <w:color w:val="2F7868"/>
          <w:sz w:val="22"/>
        </w:rPr>
        <w:t xml:space="preserve">☐  </w:t>
      </w:r>
      <w:r>
        <w:rPr>
          <w:rFonts w:ascii="Arial" w:hAnsi="Arial"/>
          <w:color w:val="273137"/>
          <w:sz w:val="19"/>
        </w:rPr>
        <w:t>The IQD 5,000 customer service fee and 10% owner commission are commercial assumptions, not supplier costs.</w:t>
      </w:r>
    </w:p>
    <w:p>
      <w:pPr>
        <w:ind w:left="227" w:hanging="227"/>
      </w:pPr>
      <w:r>
        <w:rPr>
          <w:color w:val="2F7868"/>
          <w:sz w:val="22"/>
        </w:rPr>
        <w:t xml:space="preserve">☐  </w:t>
      </w:r>
      <w:r>
        <w:rPr>
          <w:rFonts w:ascii="Arial" w:hAnsi="Arial"/>
          <w:color w:val="273137"/>
          <w:sz w:val="19"/>
        </w:rPr>
        <w:t>TBC and usage-based costs are excluded from the headline total.</w:t>
      </w:r>
    </w:p>
    <w:p>
      <w:pPr>
        <w:ind w:left="227" w:hanging="227"/>
      </w:pPr>
      <w:r>
        <w:rPr>
          <w:color w:val="2F7868"/>
          <w:sz w:val="22"/>
        </w:rPr>
        <w:t xml:space="preserve">☐  </w:t>
      </w:r>
      <w:r>
        <w:rPr>
          <w:rFonts w:ascii="Arial" w:hAnsi="Arial"/>
          <w:color w:val="273137"/>
          <w:sz w:val="19"/>
        </w:rPr>
        <w:t>Supplier prices, taxes, foreign-exchange rates and commercial terms will be rechecked before purchase.</w:t>
      </w:r>
    </w:p>
    <w:p>
      <w:pPr>
        <w:ind w:left="227" w:hanging="227"/>
      </w:pPr>
      <w:r>
        <w:rPr>
          <w:color w:val="2F7868"/>
          <w:sz w:val="22"/>
        </w:rPr>
        <w:t xml:space="preserve">☐  </w:t>
      </w:r>
      <w:r>
        <w:rPr>
          <w:rFonts w:ascii="Arial" w:hAnsi="Arial"/>
          <w:color w:val="273137"/>
          <w:sz w:val="19"/>
        </w:rPr>
        <w:t>Approval of this plan does not replace separate approval of individual TBC quotations.</w:t>
      </w:r>
    </w:p>
    <w:p>
      <w:pPr>
        <w:pStyle w:val="Heading1"/>
        <w:pageBreakBefore/>
        <w:pBdr>
          <w:bottom w:val="single" w:sz="10" w:space="7" w:color="2F7868"/>
        </w:pBdr>
      </w:pPr>
      <w:r>
        <w:t>7. Pricing and research basis</w:t>
      </w:r>
    </w:p>
    <w:p>
      <w:r>
        <w:rPr>
          <w:rFonts w:ascii="Arial" w:hAnsi="Arial"/>
          <w:color w:val="273137"/>
          <w:sz w:val="21"/>
        </w:rPr>
        <w:t>Public prices and provider evidence were checked during the July and 2 August 2026 research sessions. Supplier prices can change and final invoices may include tax, currency conversion or card charges.</w:t>
      </w:r>
    </w:p>
    <w:p>
      <w:pPr>
        <w:ind w:left="312" w:hanging="142"/>
      </w:pPr>
      <w:r>
        <w:rPr>
          <w:rFonts w:ascii="Arial" w:hAnsi="Arial"/>
          <w:color w:val="2F7868"/>
        </w:rPr>
        <w:t xml:space="preserve">•  </w:t>
      </w:r>
      <w:hyperlink r:id="rId10">
        <w:r>
          <w:rPr>
            <w:color w:val="2F7868"/>
            <w:u w:val="single"/>
          </w:rPr>
          <w:t>GitHub pricing</w:t>
        </w:r>
      </w:hyperlink>
    </w:p>
    <w:p>
      <w:pPr>
        <w:ind w:left="312" w:hanging="142"/>
      </w:pPr>
      <w:r>
        <w:rPr>
          <w:rFonts w:ascii="Arial" w:hAnsi="Arial"/>
          <w:color w:val="2F7868"/>
        </w:rPr>
        <w:t xml:space="preserve">•  </w:t>
      </w:r>
      <w:hyperlink r:id="rId11">
        <w:r>
          <w:rPr>
            <w:color w:val="2F7868"/>
            <w:u w:val="single"/>
          </w:rPr>
          <w:t>CodeRabbit plans</w:t>
        </w:r>
      </w:hyperlink>
    </w:p>
    <w:p>
      <w:pPr>
        <w:ind w:left="312" w:hanging="142"/>
      </w:pPr>
      <w:r>
        <w:rPr>
          <w:rFonts w:ascii="Arial" w:hAnsi="Arial"/>
          <w:color w:val="2F7868"/>
        </w:rPr>
        <w:t xml:space="preserve">•  </w:t>
      </w:r>
      <w:hyperlink r:id="rId12">
        <w:r>
          <w:rPr>
            <w:color w:val="2F7868"/>
            <w:u w:val="single"/>
          </w:rPr>
          <w:t>Cloudflare Workers pricing</w:t>
        </w:r>
      </w:hyperlink>
    </w:p>
    <w:p>
      <w:pPr>
        <w:ind w:left="312" w:hanging="142"/>
      </w:pPr>
      <w:r>
        <w:rPr>
          <w:rFonts w:ascii="Arial" w:hAnsi="Arial"/>
          <w:color w:val="2F7868"/>
        </w:rPr>
        <w:t xml:space="preserve">•  </w:t>
      </w:r>
      <w:hyperlink r:id="rId13">
        <w:r>
          <w:rPr>
            <w:color w:val="2F7868"/>
            <w:u w:val="single"/>
          </w:rPr>
          <w:t>Supabase pricing</w:t>
        </w:r>
      </w:hyperlink>
    </w:p>
    <w:p>
      <w:pPr>
        <w:ind w:left="312" w:hanging="142"/>
      </w:pPr>
      <w:r>
        <w:rPr>
          <w:rFonts w:ascii="Arial" w:hAnsi="Arial"/>
          <w:color w:val="2F7868"/>
        </w:rPr>
        <w:t xml:space="preserve">•  </w:t>
      </w:r>
      <w:hyperlink r:id="rId14">
        <w:r>
          <w:rPr>
            <w:color w:val="2F7868"/>
            <w:u w:val="single"/>
          </w:rPr>
          <w:t>Blacksmith pricing</w:t>
        </w:r>
      </w:hyperlink>
    </w:p>
    <w:p>
      <w:pPr>
        <w:ind w:left="312" w:hanging="142"/>
      </w:pPr>
      <w:r>
        <w:rPr>
          <w:rFonts w:ascii="Arial" w:hAnsi="Arial"/>
          <w:color w:val="2F7868"/>
        </w:rPr>
        <w:t xml:space="preserve">•  </w:t>
      </w:r>
      <w:hyperlink r:id="rId15">
        <w:r>
          <w:rPr>
            <w:color w:val="2F7868"/>
            <w:u w:val="single"/>
          </w:rPr>
          <w:t>Porkbun email pricing</w:t>
        </w:r>
      </w:hyperlink>
    </w:p>
    <w:p>
      <w:pPr>
        <w:ind w:left="312" w:hanging="142"/>
      </w:pPr>
      <w:r>
        <w:rPr>
          <w:rFonts w:ascii="Arial" w:hAnsi="Arial"/>
          <w:color w:val="2F7868"/>
        </w:rPr>
        <w:t xml:space="preserve">•  </w:t>
      </w:r>
      <w:hyperlink r:id="rId16">
        <w:r>
          <w:rPr>
            <w:color w:val="2F7868"/>
            <w:u w:val="single"/>
          </w:rPr>
          <w:t>Apple Developer Program pricing</w:t>
        </w:r>
      </w:hyperlink>
    </w:p>
    <w:p>
      <w:pPr>
        <w:ind w:left="312" w:hanging="142"/>
      </w:pPr>
      <w:r>
        <w:rPr>
          <w:rFonts w:ascii="Arial" w:hAnsi="Arial"/>
          <w:color w:val="2F7868"/>
        </w:rPr>
        <w:t xml:space="preserve">•  </w:t>
      </w:r>
      <w:hyperlink r:id="rId17">
        <w:r>
          <w:rPr>
            <w:color w:val="2F7868"/>
            <w:u w:val="single"/>
          </w:rPr>
          <w:t>Google Play developer account pricing</w:t>
        </w:r>
      </w:hyperlink>
    </w:p>
    <w:p>
      <w:pPr>
        <w:ind w:left="312" w:hanging="142"/>
      </w:pPr>
      <w:r>
        <w:rPr>
          <w:rFonts w:ascii="Arial" w:hAnsi="Arial"/>
          <w:color w:val="2F7868"/>
        </w:rPr>
        <w:t xml:space="preserve">•  </w:t>
      </w:r>
      <w:hyperlink r:id="rId18">
        <w:r>
          <w:rPr>
            <w:color w:val="2F7868"/>
            <w:u w:val="single"/>
          </w:rPr>
          <w:t>Google Maps Platform pricing</w:t>
        </w:r>
      </w:hyperlink>
    </w:p>
    <w:p>
      <w:pPr>
        <w:ind w:left="312" w:hanging="142"/>
      </w:pPr>
      <w:r>
        <w:rPr>
          <w:rFonts w:ascii="Arial" w:hAnsi="Arial"/>
          <w:color w:val="2F7868"/>
        </w:rPr>
        <w:t xml:space="preserve">•  </w:t>
      </w:r>
      <w:hyperlink r:id="rId19">
        <w:r>
          <w:rPr>
            <w:color w:val="2F7868"/>
            <w:u w:val="single"/>
          </w:rPr>
          <w:t>OpenAI gpt-5.6-luna model</w:t>
        </w:r>
      </w:hyperlink>
    </w:p>
    <w:p>
      <w:pPr>
        <w:ind w:left="312" w:hanging="142"/>
      </w:pPr>
      <w:r>
        <w:rPr>
          <w:rFonts w:ascii="Arial" w:hAnsi="Arial"/>
          <w:color w:val="2F7868"/>
        </w:rPr>
        <w:t xml:space="preserve">•  </w:t>
      </w:r>
      <w:hyperlink r:id="rId20">
        <w:r>
          <w:rPr>
            <w:color w:val="2F7868"/>
            <w:u w:val="single"/>
          </w:rPr>
          <w:t>OpenAI API pricing</w:t>
        </w:r>
      </w:hyperlink>
    </w:p>
    <w:p>
      <w:pPr>
        <w:ind w:left="312" w:hanging="142"/>
      </w:pPr>
      <w:r>
        <w:rPr>
          <w:rFonts w:ascii="Arial" w:hAnsi="Arial"/>
          <w:color w:val="2F7868"/>
        </w:rPr>
        <w:t xml:space="preserve">•  </w:t>
      </w:r>
      <w:hyperlink r:id="rId21">
        <w:r>
          <w:rPr>
            <w:color w:val="2F7868"/>
            <w:u w:val="single"/>
          </w:rPr>
          <w:t>Qi Card gateway documentation</w:t>
        </w:r>
      </w:hyperlink>
    </w:p>
    <w:p>
      <w:pPr>
        <w:ind w:left="312" w:hanging="142"/>
      </w:pPr>
      <w:r>
        <w:rPr>
          <w:rFonts w:ascii="Arial" w:hAnsi="Arial"/>
          <w:color w:val="2F7868"/>
        </w:rPr>
        <w:t xml:space="preserve">•  </w:t>
      </w:r>
      <w:hyperlink r:id="rId22">
        <w:r>
          <w:rPr>
            <w:color w:val="2F7868"/>
            <w:u w:val="single"/>
          </w:rPr>
          <w:t>ZainCash business pricing</w:t>
        </w:r>
      </w:hyperlink>
    </w:p>
    <w:p>
      <w:pPr>
        <w:ind w:left="312" w:hanging="142"/>
      </w:pPr>
      <w:r>
        <w:rPr>
          <w:rFonts w:ascii="Arial" w:hAnsi="Arial"/>
          <w:color w:val="2F7868"/>
        </w:rPr>
        <w:t xml:space="preserve">•  </w:t>
      </w:r>
      <w:hyperlink r:id="rId23">
        <w:r>
          <w:rPr>
            <w:color w:val="2F7868"/>
            <w:u w:val="single"/>
          </w:rPr>
          <w:t>Central Bank of Iraq licensed providers</w:t>
        </w:r>
      </w:hyperlink>
    </w:p>
    <w:p>
      <w:pPr>
        <w:ind w:left="312" w:hanging="142"/>
      </w:pPr>
      <w:r>
        <w:rPr>
          <w:rFonts w:ascii="Arial" w:hAnsi="Arial"/>
          <w:color w:val="2F7868"/>
        </w:rPr>
        <w:t xml:space="preserve">•  </w:t>
      </w:r>
      <w:hyperlink r:id="rId24">
        <w:r>
          <w:rPr>
            <w:color w:val="2F7868"/>
            <w:u w:val="single"/>
          </w:rPr>
          <w:t>Central Bank of Iraq payment-commission notice</w:t>
        </w:r>
      </w:hyperlink>
    </w:p>
    <w:p>
      <w:pPr>
        <w:ind w:left="312" w:hanging="142"/>
      </w:pPr>
      <w:r>
        <w:rPr>
          <w:rFonts w:ascii="Arial" w:hAnsi="Arial"/>
          <w:color w:val="2F7868"/>
        </w:rPr>
        <w:t xml:space="preserve">•  </w:t>
      </w:r>
      <w:hyperlink r:id="rId25">
        <w:r>
          <w:rPr>
            <w:color w:val="2F7868"/>
            <w:u w:val="single"/>
          </w:rPr>
          <w:t>Iraq trademark fee and registration update</w:t>
        </w:r>
      </w:hyperlink>
    </w:p>
    <w:p>
      <w:pPr>
        <w:ind w:left="312" w:hanging="142"/>
      </w:pPr>
      <w:r>
        <w:rPr>
          <w:rFonts w:ascii="Arial" w:hAnsi="Arial"/>
          <w:color w:val="2F7868"/>
        </w:rPr>
        <w:t xml:space="preserve">•  </w:t>
      </w:r>
      <w:hyperlink r:id="rId26">
        <w:r>
          <w:rPr>
            <w:color w:val="2F7868"/>
            <w:u w:val="single"/>
          </w:rPr>
          <w:t>RentCottage commercial and compliance research</w:t>
        </w:r>
      </w:hyperlink>
    </w:p>
    <w:sectPr>
      <w:headerReference w:type="default" r:id="rId7"/>
      <w:footerReference w:type="default" r:id="rId8"/>
      <w:pgSz w:w="12240" w:h="15840" w:orient="portrait"/>
      <w:pgMar w:top="1020" w:right="1020" w:bottom="964" w:left="1020" w:header="397" w:footer="36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0"/>
      <w:jc w:val="center"/>
      <w:tblLayout w:type="fixed"/>
      <w:tblLook w:firstColumn="1" w:firstRow="1" w:lastColumn="0" w:lastRow="0" w:noHBand="0" w:noVBand="1" w:val="04A0"/>
    </w:tblPr>
    <w:tblGrid>
      <w:gridCol w:w="7087"/>
      <w:gridCol w:w="2835"/>
    </w:tblGrid>
    <w:tr>
      <w:tc>
        <w:tcPr>
          <w:tcW w:type="dxa" w:w="5100"/>
          <w:tcMar>
            <w:top w:w="40" w:type="dxa"/>
            <w:start w:w="0" w:type="dxa"/>
            <w:bottom w:w="0" w:type="dxa"/>
            <w:end w:w="0" w:type="dxa"/>
          </w:tcMar>
        </w:tcPr>
        <w:p>
          <w:r>
            <w:rPr>
              <w:color w:val="626C72"/>
              <w:sz w:val="16"/>
            </w:rPr>
            <w:t>Muntajaa</w:t>
          </w:r>
        </w:p>
      </w:tc>
      <w:tc>
        <w:tcPr>
          <w:tcW w:type="dxa" w:w="5100"/>
          <w:tcMar>
            <w:top w:w="40" w:type="dxa"/>
            <w:start w:w="0" w:type="dxa"/>
            <w:bottom w:w="0" w:type="dxa"/>
            <w:end w:w="0" w:type="dxa"/>
          </w:tcMar>
        </w:tcPr>
        <w:p>
          <w:pPr>
            <w:jc w:val="right"/>
          </w:pPr>
          <w:r>
            <w:rPr>
              <w:color w:val="626C72"/>
              <w:sz w:val="16"/>
            </w:rPr>
            <w:t xml:space="preserve">Page </w:t>
          </w:r>
          <w:r>
            <w:fldChar w:fldCharType="begin"/>
            <w:instrText xml:space="preserve">PAGE</w:instrText>
            <w:fldChar w:fldCharType="end"/>
          </w:r>
          <w:r>
            <w:rPr>
              <w:sz w:val="16"/>
            </w:rPr>
            <w:t xml:space="preserve"> of </w:t>
          </w:r>
          <w:r>
            <w:fldChar w:fldCharType="begin"/>
            <w:instrText xml:space="preserve">NUMPAGES</w:instrText>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jc w:val="center"/>
      <w:tblLayout w:type="fixed"/>
      <w:tblLook w:firstColumn="1" w:firstRow="1" w:lastColumn="0" w:lastRow="0" w:noHBand="0" w:noVBand="1" w:val="04A0"/>
    </w:tblPr>
    <w:tblGrid>
      <w:gridCol w:w="7087"/>
      <w:gridCol w:w="2835"/>
    </w:tblGrid>
    <w:tr>
      <w:tc>
        <w:tcPr>
          <w:tcW w:type="dxa" w:w="5100"/>
          <w:tcMar>
            <w:top w:w="0" w:type="dxa"/>
            <w:start w:w="0" w:type="dxa"/>
            <w:bottom w:w="40" w:type="dxa"/>
            <w:end w:w="0" w:type="dxa"/>
          </w:tcMar>
        </w:tcPr>
        <w:p>
          <w:pPr>
            <w:jc w:val="left"/>
            <w:pBdr>
              <w:bottom w:val="single" w:sz="6" w:space="7" w:color="2F7868"/>
            </w:pBdr>
          </w:pPr>
          <w:r/>
          <w:r>
            <w:rPr>
              <w:rFonts w:ascii="Arial" w:hAnsi="Arial"/>
              <w:b/>
              <w:color w:val="273137"/>
              <w:sz w:val="16"/>
            </w:rPr>
            <w:t>Muntajaa - Marketplace Cost Plan</w:t>
          </w:r>
        </w:p>
      </w:tc>
      <w:tc>
        <w:tcPr>
          <w:tcW w:type="dxa" w:w="5100"/>
          <w:tcMar>
            <w:top w:w="0" w:type="dxa"/>
            <w:start w:w="0" w:type="dxa"/>
            <w:bottom w:w="40" w:type="dxa"/>
            <w:end w:w="0" w:type="dxa"/>
          </w:tcMar>
        </w:tcPr>
        <w:p>
          <w:pPr>
            <w:jc w:val="right"/>
            <w:pBdr>
              <w:bottom w:val="single" w:sz="6" w:space="7" w:color="2F7868"/>
            </w:pBdr>
          </w:pPr>
          <w:r/>
          <w:r>
            <w:rPr>
              <w:rFonts w:ascii="Arial" w:hAnsi="Arial"/>
              <w:b w:val="0"/>
              <w:color w:val="626C72"/>
              <w:sz w:val="16"/>
            </w:rPr>
            <w:t>Draft for budget review</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D"/>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00" w:after="120"/>
    </w:pPr>
    <w:rPr>
      <w:rFonts w:ascii="Arial" w:hAnsi="Arial"/>
      <w:b/>
      <w:color w:val="273137"/>
      <w:sz w:val="40"/>
      <w:szCs w:val="32"/>
    </w:rPr>
  </w:style>
  <w:style w:type="paragraph" w:styleId="Heading2">
    <w:name w:val="Heading 2"/>
    <w:basedOn w:val="Normal"/>
    <w:next w:val="Normal"/>
    <w:qFormat/>
    <w:pPr>
      <w:keepNext/>
      <w:spacing w:before="200" w:after="120"/>
    </w:pPr>
    <w:rPr>
      <w:rFonts w:ascii="Arial" w:hAnsi="Arial"/>
      <w:b/>
      <w:color w:val="2F7868"/>
      <w:sz w:val="28"/>
      <w:szCs w:val="26"/>
    </w:rPr>
  </w:style>
  <w:style w:type="paragraph" w:styleId="Heading3">
    <w:name w:val="Heading 3"/>
    <w:basedOn w:val="Normal"/>
    <w:next w:val="Normal"/>
    <w:qFormat/>
    <w:pPr>
      <w:keepNext/>
      <w:spacing w:before="200" w:after="120"/>
    </w:pPr>
    <w:rPr>
      <w:rFonts w:ascii="Arial" w:hAnsi="Arial"/>
      <w:b/>
      <w:color w:val="273137"/>
      <w:sz w:val="23"/>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00" w:line="259" w:lineRule="auto"/>
    </w:pPr>
    <w:rPr>
      <w:rFonts w:ascii="Arial" w:hAnsi="Arial"/>
      <w:color w:val="273137"/>
      <w:sz w:val="21"/>
    </w:rPr>
  </w:style>
  <w:style w:type="paragraph" w:customStyle="1" w:styleId="ListBullet">
    <w:name w:val="List Bullet"/>
    <w:basedOn w:val="Normal"/>
  </w:style>
  <w:style w:type="paragraph" w:customStyle="1" w:styleId="ListNumber">
    <w:name w:val="List Number"/>
    <w:basedOn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github.com/pricing" TargetMode="External"/><Relationship Id="rId11" Type="http://schemas.openxmlformats.org/officeDocument/2006/relationships/hyperlink" Target="https://docs.coderabbit.ai/management/plans" TargetMode="External"/><Relationship Id="rId12" Type="http://schemas.openxmlformats.org/officeDocument/2006/relationships/hyperlink" Target="https://developers.cloudflare.com/workers/platform/pricing/" TargetMode="External"/><Relationship Id="rId13" Type="http://schemas.openxmlformats.org/officeDocument/2006/relationships/hyperlink" Target="https://supabase.com/pricing" TargetMode="External"/><Relationship Id="rId14" Type="http://schemas.openxmlformats.org/officeDocument/2006/relationships/hyperlink" Target="https://www.blacksmith.sh/pricing" TargetMode="External"/><Relationship Id="rId15" Type="http://schemas.openxmlformats.org/officeDocument/2006/relationships/hyperlink" Target="https://porkbun.com/products/porkbun_email/" TargetMode="External"/><Relationship Id="rId16" Type="http://schemas.openxmlformats.org/officeDocument/2006/relationships/hyperlink" Target="https://developer.apple.com/programs/whats-included/" TargetMode="External"/><Relationship Id="rId17" Type="http://schemas.openxmlformats.org/officeDocument/2006/relationships/hyperlink" Target="https://support.google.com/googleplay/android-developer/answer/6112435" TargetMode="External"/><Relationship Id="rId18" Type="http://schemas.openxmlformats.org/officeDocument/2006/relationships/hyperlink" Target="https://developers.google.com/maps/billing-and-pricing/pricing" TargetMode="External"/><Relationship Id="rId19" Type="http://schemas.openxmlformats.org/officeDocument/2006/relationships/hyperlink" Target="https://developers.openai.com/api/docs/models/gpt-5.6-luna" TargetMode="External"/><Relationship Id="rId20" Type="http://schemas.openxmlformats.org/officeDocument/2006/relationships/hyperlink" Target="https://openai.com/api/pricing/" TargetMode="External"/><Relationship Id="rId21" Type="http://schemas.openxmlformats.org/officeDocument/2006/relationships/hyperlink" Target="https://developers-gate.qi.iq/docs/getting-started/payment-gateway-intro" TargetMode="External"/><Relationship Id="rId22" Type="http://schemas.openxmlformats.org/officeDocument/2006/relationships/hyperlink" Target="https://www.zaincash.iq/business-wallets" TargetMode="External"/><Relationship Id="rId23" Type="http://schemas.openxmlformats.org/officeDocument/2006/relationships/hyperlink" Target="https://www.cbi.iq/page/25" TargetMode="External"/><Relationship Id="rId24" Type="http://schemas.openxmlformats.org/officeDocument/2006/relationships/hyperlink" Target="https://cbi.iq/news/view/2454" TargetMode="External"/><Relationship Id="rId25" Type="http://schemas.openxmlformats.org/officeDocument/2006/relationships/hyperlink" Target="https://www.jetro.go.jp/ext_images/_Ipnews/middle_east/ME_IP_Newsletter_202606_en.pdf" TargetMode="External"/><Relationship Id="rId26" Type="http://schemas.openxmlformats.org/officeDocument/2006/relationships/hyperlink" Target="../research/rentcottage-unresolved-commercial-compliance-research.m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Muntajaa Marketplace Cost Plan</dc:title>
  <dc:creator>Zain El-Abidin Abo Gulel</dc:creator>
  <dc:description>Proposed MVP product agreement for client sign-off</dc:description>
  <cp:lastModifiedBy>Un-named</cp:lastModifiedBy>
  <cp:revision>1</cp:revision>
  <dcterms:created xsi:type="dcterms:W3CDTF">2026-07-12T13:28:04.207Z</dcterms:created>
  <dcterms:modified xsi:type="dcterms:W3CDTF">2026-07-12T13:28:04.207Z</dcterms:modified>
  <dc:subject>Build and Phase 2 budget</dc:subject>
</cp:coreProperties>
</file>

<file path=docProps/custom.xml><?xml version="1.0" encoding="utf-8"?>
<Properties xmlns="http://schemas.openxmlformats.org/officeDocument/2006/custom-properties" xmlns:vt="http://schemas.openxmlformats.org/officeDocument/2006/docPropsVTypes"/>
</file>