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Recent research highlights a notable gap in the literature on used EV markets, as most studies continue to focus predominantly on new EV adoption. For example, research (</w:t>
      </w:r>
      <w:hyperlink r:id="rId6">
        <w:r w:rsidDel="00000000" w:rsidR="00000000" w:rsidRPr="00000000">
          <w:rPr>
            <w:color w:val="1155cc"/>
            <w:u w:val="single"/>
            <w:rtl w:val="0"/>
          </w:rPr>
          <w:t xml:space="preserve">cite</w:t>
        </w:r>
      </w:hyperlink>
      <w:r w:rsidDel="00000000" w:rsidR="00000000" w:rsidRPr="00000000">
        <w:rPr>
          <w:rtl w:val="0"/>
        </w:rPr>
        <w:t xml:space="preserve">) shows that studies often assume used-EV preferences stem primarily from lower cost, without deeper analysis. In the U.S., however, the used-EV market is growing rapidly, with over 400,000 units in 2023, and it appears to attract a distinct demographic profile: surveys show that used-EV owners are disproportionately male, middle-aged, well-educated, and higher-income (</w:t>
      </w:r>
      <w:hyperlink r:id="rId7">
        <w:r w:rsidDel="00000000" w:rsidR="00000000" w:rsidRPr="00000000">
          <w:rPr>
            <w:color w:val="1155cc"/>
            <w:u w:val="single"/>
            <w:rtl w:val="0"/>
          </w:rPr>
          <w:t xml:space="preserve">cite</w:t>
        </w:r>
      </w:hyperlink>
      <w:r w:rsidDel="00000000" w:rsidR="00000000" w:rsidRPr="00000000">
        <w:rPr>
          <w:rtl w:val="0"/>
        </w:rPr>
        <w:t xml:space="preserve"> and </w:t>
      </w:r>
      <w:hyperlink r:id="rId8">
        <w:r w:rsidDel="00000000" w:rsidR="00000000" w:rsidRPr="00000000">
          <w:rPr>
            <w:color w:val="1155cc"/>
            <w:u w:val="single"/>
            <w:rtl w:val="0"/>
          </w:rPr>
          <w:t xml:space="preserve">cite</w:t>
        </w:r>
      </w:hyperlink>
      <w:r w:rsidDel="00000000" w:rsidR="00000000" w:rsidRPr="00000000">
        <w:rPr>
          <w:rtl w:val="0"/>
        </w:rPr>
        <w:t xml:space="preserve">). High-income, full-time-employed owners with private parking are also more likely to buy used EVs (</w:t>
      </w:r>
      <w:hyperlink r:id="rId9">
        <w:r w:rsidDel="00000000" w:rsidR="00000000" w:rsidRPr="00000000">
          <w:rPr>
            <w:color w:val="1155cc"/>
            <w:u w:val="single"/>
            <w:rtl w:val="0"/>
          </w:rPr>
          <w:t xml:space="preserve">cite</w:t>
        </w:r>
      </w:hyperlink>
      <w:r w:rsidDel="00000000" w:rsidR="00000000" w:rsidRPr="00000000">
        <w:rPr>
          <w:rtl w:val="0"/>
        </w:rPr>
        <w:t xml:space="preserve">). At the same time, research shows that financial considerations are the main reason people prefer used EVs, but this motivation is not homogeneous across public segments; among respondents who would purchase a used EV, the authors identify three groups: budget-constrained participants, participants apprehensive about adapting to EVs, and participants who view used EVs as offering better cost-benefit and lower depreciation (</w:t>
      </w:r>
      <w:hyperlink r:id="rId10">
        <w:r w:rsidDel="00000000" w:rsidR="00000000" w:rsidRPr="00000000">
          <w:rPr>
            <w:color w:val="1155cc"/>
            <w:u w:val="single"/>
            <w:rtl w:val="0"/>
          </w:rPr>
          <w:t xml:space="preserve">cite</w:t>
        </w:r>
      </w:hyperlink>
      <w:r w:rsidDel="00000000" w:rsidR="00000000" w:rsidRPr="00000000">
        <w:rPr>
          <w:rtl w:val="0"/>
        </w:rPr>
        <w:t xml:space="preserv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Used-EV buyers also express consistent concerns about total cost, reliability, and charging access. A survey of used-EV owners finds that the top pre-purchase concerns are purchase price, battery performance, and access to charging stations (</w:t>
      </w:r>
      <w:hyperlink r:id="rId11">
        <w:r w:rsidDel="00000000" w:rsidR="00000000" w:rsidRPr="00000000">
          <w:rPr>
            <w:color w:val="1155cc"/>
            <w:u w:val="single"/>
            <w:rtl w:val="0"/>
          </w:rPr>
          <w:t xml:space="preserve">cite</w:t>
        </w:r>
      </w:hyperlink>
      <w:r w:rsidDel="00000000" w:rsidR="00000000" w:rsidRPr="00000000">
        <w:rPr>
          <w:rtl w:val="0"/>
        </w:rPr>
        <w:t xml:space="preserve">), with lower-income used-EV buyers being particularly sensitive to price and charging availability (</w:t>
      </w:r>
      <w:hyperlink r:id="rId12">
        <w:r w:rsidDel="00000000" w:rsidR="00000000" w:rsidRPr="00000000">
          <w:rPr>
            <w:color w:val="1155cc"/>
            <w:u w:val="single"/>
            <w:rtl w:val="0"/>
          </w:rPr>
          <w:t xml:space="preserve">cite</w:t>
        </w:r>
      </w:hyperlink>
      <w:r w:rsidDel="00000000" w:rsidR="00000000" w:rsidRPr="00000000">
        <w:rPr>
          <w:rtl w:val="0"/>
        </w:rPr>
        <w:t xml:space="preserve">). More broadly, many factors affect EV purchase in general, including up-front cost, operating costs including fuel (electricity) and maintenance, range, refueling/recharging time, the availability of refueling infrastructure, environmental impacts, and government incentives (</w:t>
      </w:r>
      <w:hyperlink r:id="rId13">
        <w:r w:rsidDel="00000000" w:rsidR="00000000" w:rsidRPr="00000000">
          <w:rPr>
            <w:color w:val="1155cc"/>
            <w:u w:val="single"/>
            <w:rtl w:val="0"/>
          </w:rPr>
          <w:t xml:space="preserve">cite</w:t>
        </w:r>
      </w:hyperlink>
      <w:r w:rsidDel="00000000" w:rsidR="00000000" w:rsidRPr="00000000">
        <w:rPr>
          <w:rtl w:val="0"/>
        </w:rPr>
        <w:t xml:space="preserve">), Within the used-EV market specifically, those concerned about EV charging infrastructure and price were reluctant to purchase a pre-owned EV (</w:t>
      </w:r>
      <w:hyperlink r:id="rId14">
        <w:r w:rsidDel="00000000" w:rsidR="00000000" w:rsidRPr="00000000">
          <w:rPr>
            <w:color w:val="1155cc"/>
            <w:u w:val="single"/>
            <w:rtl w:val="0"/>
          </w:rPr>
          <w:t xml:space="preserve">cite</w:t>
        </w:r>
      </w:hyperlink>
      <w:r w:rsidDel="00000000" w:rsidR="00000000" w:rsidRPr="00000000">
        <w:rPr>
          <w:rtl w:val="0"/>
        </w:rPr>
        <w:t xml:space="preserve">). At the same time, “new” EV drivers are willing to adopt used EVs if vehicles fit their needs and home charging, and experienced EV drivers are more comfortable purchasing a pre-owned EV (</w:t>
      </w:r>
      <w:hyperlink r:id="rId15">
        <w:r w:rsidDel="00000000" w:rsidR="00000000" w:rsidRPr="00000000">
          <w:rPr>
            <w:color w:val="1155cc"/>
            <w:u w:val="single"/>
            <w:rtl w:val="0"/>
          </w:rPr>
          <w:t xml:space="preserve">cite</w:t>
        </w:r>
      </w:hyperlink>
      <w:r w:rsidDel="00000000" w:rsidR="00000000" w:rsidRPr="00000000">
        <w:rPr>
          <w:rtl w:val="0"/>
        </w:rPr>
        <w:t xml:space="preserv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These findings should also be understood within the broader used-vehicle market, where buyers generally emphasize affordability, fit to needs, vehicle condition, and reliability, and where fuel costs also matter in vehicle valuation and choice (</w:t>
      </w:r>
      <w:hyperlink r:id="rId16">
        <w:r w:rsidDel="00000000" w:rsidR="00000000" w:rsidRPr="00000000">
          <w:rPr>
            <w:color w:val="1155cc"/>
            <w:u w:val="single"/>
            <w:rtl w:val="0"/>
          </w:rPr>
          <w:t xml:space="preserve">cite</w:t>
        </w:r>
      </w:hyperlink>
      <w:r w:rsidDel="00000000" w:rsidR="00000000" w:rsidRPr="00000000">
        <w:rPr>
          <w:rtl w:val="0"/>
        </w:rPr>
        <w:t xml:space="preserve">) (</w:t>
      </w:r>
      <w:hyperlink r:id="rId17">
        <w:r w:rsidDel="00000000" w:rsidR="00000000" w:rsidRPr="00000000">
          <w:rPr>
            <w:color w:val="1155cc"/>
            <w:u w:val="single"/>
            <w:rtl w:val="0"/>
          </w:rPr>
          <w:t xml:space="preserve">cite</w:t>
        </w:r>
      </w:hyperlink>
      <w:r w:rsidDel="00000000" w:rsidR="00000000" w:rsidRPr="00000000">
        <w:rPr>
          <w:rtl w:val="0"/>
        </w:rPr>
        <w:t xml:space="preserve">). Research further finds that used-car purchasing is more common among larger households and renters, and that low-income single-vehicle renters face especially high vehicle-cost burdens (</w:t>
      </w:r>
      <w:hyperlink r:id="rId18">
        <w:r w:rsidDel="00000000" w:rsidR="00000000" w:rsidRPr="00000000">
          <w:rPr>
            <w:color w:val="1155cc"/>
            <w:u w:val="single"/>
            <w:rtl w:val="0"/>
          </w:rPr>
          <w:t xml:space="preserve">cite</w:t>
        </w:r>
      </w:hyperlink>
      <w:r w:rsidDel="00000000" w:rsidR="00000000" w:rsidRPr="00000000">
        <w:rPr>
          <w:rtl w:val="0"/>
        </w:rPr>
        <w:t xml:space="preserve">). Average used-vehicle prices increased markedly relative to 2020 and remained elevated through 2024–2025 (</w:t>
      </w:r>
      <w:hyperlink r:id="rId19">
        <w:r w:rsidDel="00000000" w:rsidR="00000000" w:rsidRPr="00000000">
          <w:rPr>
            <w:color w:val="1155cc"/>
            <w:u w:val="single"/>
            <w:rtl w:val="0"/>
          </w:rPr>
          <w:t xml:space="preserve">cite</w:t>
        </w:r>
      </w:hyperlink>
      <w:r w:rsidDel="00000000" w:rsidR="00000000" w:rsidRPr="00000000">
        <w:rPr>
          <w:rtl w:val="0"/>
        </w:rPr>
        <w:t xml:space="preserve">). In April 2025, </w:t>
      </w:r>
      <w:hyperlink r:id="rId20">
        <w:r w:rsidDel="00000000" w:rsidR="00000000" w:rsidRPr="00000000">
          <w:rPr>
            <w:color w:val="1155cc"/>
            <w:u w:val="single"/>
            <w:rtl w:val="0"/>
          </w:rPr>
          <w:t xml:space="preserve">Kelly blue books</w:t>
        </w:r>
      </w:hyperlink>
      <w:r w:rsidDel="00000000" w:rsidR="00000000" w:rsidRPr="00000000">
        <w:rPr>
          <w:rtl w:val="0"/>
        </w:rPr>
        <w:t xml:space="preserve"> reported that the average used car buyer paid $25,547 in April. Affordability pressures appear to broaden search behavior among used-car shoppers; </w:t>
      </w:r>
      <w:hyperlink r:id="rId21">
        <w:r w:rsidDel="00000000" w:rsidR="00000000" w:rsidRPr="00000000">
          <w:rPr>
            <w:color w:val="1155cc"/>
            <w:u w:val="single"/>
            <w:rtl w:val="0"/>
          </w:rPr>
          <w:t xml:space="preserve">Cox Automotive</w:t>
        </w:r>
      </w:hyperlink>
      <w:r w:rsidDel="00000000" w:rsidR="00000000" w:rsidRPr="00000000">
        <w:rPr>
          <w:rtl w:val="0"/>
        </w:rPr>
        <w:t xml:space="preserve"> reports that 74% of used-vehicle buyers considered both new and used vehicles, and 71% of all buyers entered the process open-minded about what vehicle they would buy. </w:t>
      </w:r>
      <w:hyperlink r:id="rId22">
        <w:r w:rsidDel="00000000" w:rsidR="00000000" w:rsidRPr="00000000">
          <w:rPr>
            <w:color w:val="1155cc"/>
            <w:u w:val="single"/>
            <w:rtl w:val="0"/>
          </w:rPr>
          <w:t xml:space="preserve">Separately, C-4 Analytics </w:t>
        </w:r>
      </w:hyperlink>
      <w:r w:rsidDel="00000000" w:rsidR="00000000" w:rsidRPr="00000000">
        <w:rPr>
          <w:rtl w:val="0"/>
        </w:rPr>
        <w:t xml:space="preserve">reports that 43% of consumers would switch brands to secure a lower price. </w:t>
      </w:r>
    </w:p>
    <w:p w:rsidR="00000000" w:rsidDel="00000000" w:rsidP="00000000" w:rsidRDefault="00000000" w:rsidRPr="00000000" w14:paraId="00000006">
      <w:pPr>
        <w:jc w:val="both"/>
        <w:rPr/>
      </w:pPr>
      <w:r w:rsidDel="00000000" w:rsidR="00000000" w:rsidRPr="00000000">
        <w:rPr>
          <w:rtl w:val="0"/>
        </w:rPr>
        <w:t xml:space="preserve">Taken together, these findings underscore the heightened price sensitivity of today’s car buyers and suggest that the affordability constraints shaping the general used-car market are highly relevant to the used-EV market as well.</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The emerging used-EV literature also suggests that the used-vehicle context changes how EV attributes are valued. A study examining used-EV market behavior showed that new and used car buyers share broadly similar EV preference patterns, but used car buyers are more sensitive to fast-charging time and to the proximity of charging near home (</w:t>
      </w:r>
      <w:hyperlink r:id="rId23">
        <w:r w:rsidDel="00000000" w:rsidR="00000000" w:rsidRPr="00000000">
          <w:rPr>
            <w:color w:val="1155cc"/>
            <w:u w:val="single"/>
            <w:rtl w:val="0"/>
          </w:rPr>
          <w:t xml:space="preserve">cite</w:t>
        </w:r>
      </w:hyperlink>
      <w:r w:rsidDel="00000000" w:rsidR="00000000" w:rsidRPr="00000000">
        <w:rPr>
          <w:rtl w:val="0"/>
        </w:rPr>
        <w:t xml:space="preserve">). This suggests that barriers common to EV adoption, such as range anxiety and charging time, may be felt even more acutely by used-car shoppers, who may lack access to lease-based pathways, generous subsidies, or private home charging. Importantly, Konstantinou et al. (2024) confirm that the used-vehicle context matters: they report that average prices for used EVs ($9–37k depending on range/segment) can differ substantially from comparable used gasoline cars (~$14k), signaling that price incentives may be needed to make used EVs competitive (</w:t>
      </w:r>
      <w:hyperlink r:id="rId24">
        <w:r w:rsidDel="00000000" w:rsidR="00000000" w:rsidRPr="00000000">
          <w:rPr>
            <w:color w:val="1155cc"/>
            <w:u w:val="single"/>
            <w:rtl w:val="0"/>
          </w:rPr>
          <w:t xml:space="preserve">cite</w:t>
        </w:r>
      </w:hyperlink>
      <w:r w:rsidDel="00000000" w:rsidR="00000000" w:rsidRPr="00000000">
        <w:rPr>
          <w:rtl w:val="0"/>
        </w:rPr>
        <w:t xml:space="preserve">). These evidence imply that used-EV experiments should not be limited to purchase price alone. The broader EV stated-preference literature shows that other attributes, especially driving range and recharging time, also have statistically significant effects on EV adoption decisions (</w:t>
      </w:r>
      <w:hyperlink r:id="rId25">
        <w:r w:rsidDel="00000000" w:rsidR="00000000" w:rsidRPr="00000000">
          <w:rPr>
            <w:color w:val="1155cc"/>
            <w:u w:val="single"/>
            <w:rtl w:val="0"/>
          </w:rPr>
          <w:t xml:space="preserve">cite</w:t>
        </w:r>
      </w:hyperlink>
      <w:r w:rsidDel="00000000" w:rsidR="00000000" w:rsidRPr="00000000">
        <w:rPr>
          <w:rtl w:val="0"/>
        </w:rPr>
        <w:t xml:space="preserve">). A more recent synthesis reinforces the interaction among these attributes: a meta-regression of 33 stated-preference studies found that consumers are willing to accept lower range in exchange for denser en-route charging infrastructure, but only when BEV range is already above roughly 250–300 km (</w:t>
      </w:r>
      <w:hyperlink r:id="rId26">
        <w:r w:rsidDel="00000000" w:rsidR="00000000" w:rsidRPr="00000000">
          <w:rPr>
            <w:color w:val="1155cc"/>
            <w:u w:val="single"/>
            <w:rtl w:val="0"/>
          </w:rPr>
          <w:t xml:space="preserve">cite</w:t>
        </w:r>
      </w:hyperlink>
      <w:r w:rsidDel="00000000" w:rsidR="00000000" w:rsidRPr="00000000">
        <w:rPr>
          <w:rtl w:val="0"/>
        </w:rPr>
        <w:t xml:space="preserve">). This is especially relevant for used EVs, where perceived usable range may already be discounted because of battery aging. It also raises an important point that battery warranty and depreciation rate are important product attributes that can significantly affect electric vehicle adoption (</w:t>
      </w:r>
      <w:hyperlink r:id="rId27">
        <w:r w:rsidDel="00000000" w:rsidR="00000000" w:rsidRPr="00000000">
          <w:rPr>
            <w:color w:val="1155cc"/>
            <w:u w:val="single"/>
            <w:rtl w:val="0"/>
          </w:rPr>
          <w:t xml:space="preserve">cite</w:t>
        </w:r>
      </w:hyperlink>
      <w:r w:rsidDel="00000000" w:rsidR="00000000" w:rsidRPr="00000000">
        <w:rPr>
          <w:rtl w:val="0"/>
        </w:rPr>
        <w:t xml:space="preserve">).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In summary, the literature indicates that used-car buyers, whether EV or non-EV, are generally more cost-conscious and pragmatic than new-car buyers. Used-EV studies reinforce this pattern: affordability drives interest, yet concerns about battery performance, range, and charging remain significant barriers. Existing work also reveals distinct demographic and socioeconomic segments among used-EV consumers, underscoring the need for targeted policies, such as income-sensitive purchase incentives, affordable financing, and infrastructure investments in renter-heavy communities. Overall, this gap-focused review shows that while used EVs present a promising pathway to broader electrification, consumer preferences in this emerging market still demand deeper exploration, especially with respect to price sensitivity, reliability perceptions, and infrastructure access.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kbb.com/car-news/average-used-car-price-rising-sales-slowing/" TargetMode="External"/><Relationship Id="rId22" Type="http://schemas.openxmlformats.org/officeDocument/2006/relationships/hyperlink" Target="https://c-4analytics.com/insights/2025-automotive-consumer-price-sensitivity" TargetMode="External"/><Relationship Id="rId21" Type="http://schemas.openxmlformats.org/officeDocument/2006/relationships/hyperlink" Target="https://www.coxautoinc.com/insights/cox-automotive-car-buyer-journey-study-finds-efficiency-digital-tools-and-ai-drive-record-satisfaction/" TargetMode="External"/><Relationship Id="rId24" Type="http://schemas.openxmlformats.org/officeDocument/2006/relationships/hyperlink" Target="https://journals.sagepub.com/doi/epub/10.1177/03611981241302336" TargetMode="External"/><Relationship Id="rId23" Type="http://schemas.openxmlformats.org/officeDocument/2006/relationships/hyperlink" Target="https://journals.sagepub.com/doi/10.1177/03611981209527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1361920924005121?via%3Dihub" TargetMode="External"/><Relationship Id="rId26" Type="http://schemas.openxmlformats.org/officeDocument/2006/relationships/hyperlink" Target="https://doi.org/10.1016/j.trd.2024.104342" TargetMode="External"/><Relationship Id="rId25" Type="http://schemas.openxmlformats.org/officeDocument/2006/relationships/hyperlink" Target="https://doi.org/10.1080/01441647.2016.1230794" TargetMode="External"/><Relationship Id="rId27" Type="http://schemas.openxmlformats.org/officeDocument/2006/relationships/hyperlink" Target="https://doi.org/10.1016/j.trd.2019.11.014" TargetMode="External"/><Relationship Id="rId5" Type="http://schemas.openxmlformats.org/officeDocument/2006/relationships/styles" Target="styles.xml"/><Relationship Id="rId6" Type="http://schemas.openxmlformats.org/officeDocument/2006/relationships/hyperlink" Target="https://www.tandfonline.com/doi/full/10.1080/15568318.2025.2572827" TargetMode="External"/><Relationship Id="rId7" Type="http://schemas.openxmlformats.org/officeDocument/2006/relationships/hyperlink" Target="https://www.sciencedirect.com/science/article/pii/S1361920924000439?via%3Dihub" TargetMode="External"/><Relationship Id="rId8" Type="http://schemas.openxmlformats.org/officeDocument/2006/relationships/hyperlink" Target="https://www.sciencedirect.com/science/article/pii/S1361920924005121?via%3Dihub" TargetMode="External"/><Relationship Id="rId11" Type="http://schemas.openxmlformats.org/officeDocument/2006/relationships/hyperlink" Target="https://doi.org/10.1016/j.trd.2024.104086" TargetMode="External"/><Relationship Id="rId10" Type="http://schemas.openxmlformats.org/officeDocument/2006/relationships/hyperlink" Target="https://www.tandfonline.com/doi/full/10.1080/15568318.2025.2572827" TargetMode="External"/><Relationship Id="rId13" Type="http://schemas.openxmlformats.org/officeDocument/2006/relationships/hyperlink" Target="https://journals.sagepub.com/doi/10.1177/0361198120952792" TargetMode="External"/><Relationship Id="rId12" Type="http://schemas.openxmlformats.org/officeDocument/2006/relationships/hyperlink" Target="https://doi.org/10.1016/j.trd.2024.104086" TargetMode="External"/><Relationship Id="rId15" Type="http://schemas.openxmlformats.org/officeDocument/2006/relationships/hyperlink" Target="https://doi.org/10.1016/j.trd.2024.104555" TargetMode="External"/><Relationship Id="rId14" Type="http://schemas.openxmlformats.org/officeDocument/2006/relationships/hyperlink" Target="https://www.sciencedirect.com/science/article/pii/S1361920924005121?via%3Dihub" TargetMode="External"/><Relationship Id="rId17" Type="http://schemas.openxmlformats.org/officeDocument/2006/relationships/hyperlink" Target="https://www.consumerreports.org/cars/used-cars/buying-guide/" TargetMode="External"/><Relationship Id="rId16" Type="http://schemas.openxmlformats.org/officeDocument/2006/relationships/hyperlink" Target="https://cfpub.epa.gov/si/si_public_file_download.cfm?Lab=OTAQ&amp;p_download_id=499454" TargetMode="External"/><Relationship Id="rId19" Type="http://schemas.openxmlformats.org/officeDocument/2006/relationships/hyperlink" Target="https://www.coxautoinc.com/insights/used-vehicle-retail-listing-prices-decline-2024/" TargetMode="External"/><Relationship Id="rId18" Type="http://schemas.openxmlformats.org/officeDocument/2006/relationships/hyperlink" Target="https://journals.sagepub.com/doi/epub/10.1177/03611981241302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