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5B5A" w14:textId="77777777" w:rsidR="00DC4A4A" w:rsidRDefault="00000000">
      <w:pPr>
        <w:pStyle w:val="Heading1"/>
      </w:pPr>
      <w:bookmarkStart w:id="0" w:name="X0342c68c3926073b41a09b4d8460db89859e796"/>
      <w:r>
        <w:t>Consumer Preferences in the Used Vehicle Market: Willingness to Pay for Powertrain Type, Driving Range, Vehicle Condition, and Operating Cost</w:t>
      </w:r>
    </w:p>
    <w:p w14:paraId="23095521" w14:textId="77777777" w:rsidR="00DC4A4A" w:rsidRDefault="00000000">
      <w:pPr>
        <w:pStyle w:val="FirstParagraph"/>
      </w:pPr>
      <w:r>
        <w:t>Zain Hoda¹, Xiatian Iogansen¹,², Christina Gore²*, Joshua D. Kneifel², Sindhu Ranganath¹,², John Helveston¹</w:t>
      </w:r>
    </w:p>
    <w:p w14:paraId="381386C4" w14:textId="77777777" w:rsidR="00DC4A4A" w:rsidRDefault="00000000">
      <w:pPr>
        <w:pStyle w:val="BodyText"/>
      </w:pPr>
      <w:r>
        <w:t>¹ Department of Engineering Management and Systems Engineering, George Washington University, Washington D.C., USA ² Applied Economics Office, Engineering Laboratory, National Institute of Standards and Technology, USA * Corresponding author</w:t>
      </w:r>
    </w:p>
    <w:p w14:paraId="6025D462" w14:textId="77777777" w:rsidR="00DC4A4A" w:rsidRDefault="00000000">
      <w:pPr>
        <w:pStyle w:val="BodyText"/>
      </w:pPr>
      <w:r>
        <w:rPr>
          <w:b/>
          <w:bCs/>
        </w:rPr>
        <w:t>Keywords:</w:t>
      </w:r>
      <w:r>
        <w:t xml:space="preserve"> Battery electric vehicle; Used vehicle market; Discrete choice experiment; Willingness to pay; Mixed logit; Consumer preferences</w:t>
      </w:r>
    </w:p>
    <w:p w14:paraId="2651A2DF" w14:textId="77777777" w:rsidR="00DC4A4A" w:rsidRDefault="00000000">
      <w:r>
        <w:pict w14:anchorId="2FC9EBCB">
          <v:rect id="_x0000_i1025" style="width:0;height:1.5pt" o:hralign="center" o:hrstd="t" o:hr="t"/>
        </w:pict>
      </w:r>
    </w:p>
    <w:p w14:paraId="24E214BD" w14:textId="77777777" w:rsidR="00DC4A4A" w:rsidRDefault="00000000">
      <w:pPr>
        <w:pStyle w:val="Heading2"/>
      </w:pPr>
      <w:bookmarkStart w:id="1" w:name="background-and-objective"/>
      <w:r>
        <w:t>Background and Objective</w:t>
      </w:r>
    </w:p>
    <w:p w14:paraId="10425454" w14:textId="77777777" w:rsidR="00DC4A4A" w:rsidRDefault="00000000">
      <w:pPr>
        <w:pStyle w:val="FirstParagraph"/>
      </w:pPr>
      <w:r>
        <w:t>Used vehicles account for roughly 70% of U.S. vehicle transactions, yet most alternative fuel vehicle (AFV) research focuses on new-vehicle buyers. This study estimates willingness to pay (WTP) for powertrain type and other attributes among prospective U.S. used-vehicle buyers and compares WTP with real-market used-vehicle prices.</w:t>
      </w:r>
    </w:p>
    <w:p w14:paraId="5BA9E0CC" w14:textId="77777777" w:rsidR="00DC4A4A" w:rsidRDefault="00000000">
      <w:pPr>
        <w:pStyle w:val="Heading2"/>
      </w:pPr>
      <w:bookmarkStart w:id="2" w:name="data-and-methods"/>
      <w:bookmarkEnd w:id="1"/>
      <w:r>
        <w:t>Data and Methods</w:t>
      </w:r>
    </w:p>
    <w:p w14:paraId="1F21DA7D" w14:textId="77777777" w:rsidR="00DC4A4A" w:rsidRDefault="00000000">
      <w:pPr>
        <w:pStyle w:val="FirstParagraph"/>
      </w:pPr>
      <w:r>
        <w:t xml:space="preserve">An online survey (Dynata and Prolific, December 2025 – April 2026) of U.S. adults planning to buy a used car or SUV within two years yielded </w:t>
      </w:r>
      <w:r w:rsidRPr="004837EB">
        <w:t>2,254 respondents</w:t>
      </w:r>
      <w:r>
        <w:t>. Each completed six discrete choice tasks varying powertrain (conventional, gas hybrid [HEV], battery electric [BEV]), price, operating cost, BEV range, model year, and mileage. Six mixed logit models (by car/SUV segment and budget tier) were estimated in WTP space, and simulated net WTP was compared with real-market price premiums for matched used-vehicle pairs.</w:t>
      </w:r>
    </w:p>
    <w:p w14:paraId="70C7A1DB" w14:textId="77777777" w:rsidR="00DC4A4A" w:rsidRDefault="00000000">
      <w:pPr>
        <w:pStyle w:val="Heading2"/>
      </w:pPr>
      <w:bookmarkStart w:id="3" w:name="results"/>
      <w:bookmarkEnd w:id="2"/>
      <w:r>
        <w:t>Results</w:t>
      </w:r>
    </w:p>
    <w:p w14:paraId="35995475" w14:textId="77777777" w:rsidR="00DC4A4A" w:rsidRDefault="00000000">
      <w:pPr>
        <w:pStyle w:val="FirstParagraph"/>
      </w:pPr>
      <w:r>
        <w:rPr>
          <w:b/>
          <w:bCs/>
        </w:rPr>
        <w:t>Preference heterogeneity.</w:t>
      </w:r>
      <w:r>
        <w:t xml:space="preserve"> Mean BEV utility is negative and highly significant in all models (−$10.4k to −$26.1k), with large standard deviations indicating within-segment polarization. HEVs carry a significant premium only among high-budget buyers (about $4,200 for cars, $2,300 for SUVs).</w:t>
      </w:r>
    </w:p>
    <w:p w14:paraId="5649D6C2" w14:textId="77777777" w:rsidR="00DC4A4A" w:rsidRDefault="00000000">
      <w:pPr>
        <w:pStyle w:val="BodyText"/>
      </w:pPr>
      <w:r>
        <w:rPr>
          <w:b/>
          <w:bCs/>
        </w:rPr>
        <w:t>WTP for vehicle attributes (Figure 1).</w:t>
      </w:r>
      <w:r>
        <w:t xml:space="preserve"> The BEV penalty narrows sharply with range, from about −$8,200 to −$18,800 at 100 miles to −$2,600 to −$11,700 at 300 miles, depending on segment and budget. </w:t>
      </w:r>
      <w:r w:rsidRPr="004837EB">
        <w:t>Only high-budget car buyers considering a 300-mile BEV are statistically indistinguishable from the conventional baseline</w:t>
      </w:r>
      <w:r>
        <w:rPr>
          <w:b/>
          <w:bCs/>
        </w:rPr>
        <w:t>.</w:t>
      </w:r>
      <w:r>
        <w:t xml:space="preserve"> Mileage, age, and operating </w:t>
      </w:r>
      <w:r>
        <w:lastRenderedPageBreak/>
        <w:t>cost are penalized in every subgroup, mileage most heavily (about $1,000–$3,800 per 10,000 miles).</w:t>
      </w:r>
    </w:p>
    <w:p w14:paraId="69C0AA8A" w14:textId="77777777" w:rsidR="00DC4A4A" w:rsidRDefault="00000000">
      <w:pPr>
        <w:pStyle w:val="CaptionedFigure"/>
      </w:pPr>
      <w:r>
        <w:rPr>
          <w:noProof/>
        </w:rPr>
        <w:drawing>
          <wp:inline distT="0" distB="0" distL="0" distR="0" wp14:anchorId="70678FAD" wp14:editId="4FFFE43F">
            <wp:extent cx="5334000" cy="4000499"/>
            <wp:effectExtent l="0" t="0" r="0" b="0"/>
            <wp:docPr id="23" name="Picture" descr="Figure 1. WTP for vehicle attributes by segment and budget tier (95% confidence intervals; thousands of dollars). Solid BEV range intervals fall within the range shown to that segment; dotted intervals are extrapolat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vehicle_analysis/wtp_plot_vehicle_attribut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B56B6" w14:textId="77777777" w:rsidR="00DC4A4A" w:rsidRDefault="00000000">
      <w:pPr>
        <w:pStyle w:val="ImageCaption"/>
      </w:pPr>
      <w:r>
        <w:t>Figure 1. WTP for vehicle attributes by segment and budget tier (95% confidence intervals; thousands of dollars). Solid BEV range intervals fall within the range shown to that segment; dotted intervals are extrapolated.</w:t>
      </w:r>
    </w:p>
    <w:p w14:paraId="0E1A5126" w14:textId="77777777" w:rsidR="00DC4A4A" w:rsidRDefault="00000000">
      <w:pPr>
        <w:pStyle w:val="BodyText"/>
      </w:pPr>
      <w:r>
        <w:rPr>
          <w:b/>
          <w:bCs/>
        </w:rPr>
        <w:t>Model WTP versus real-market prices.</w:t>
      </w:r>
      <w:r>
        <w:t xml:space="preserve"> Observed used-BEV premiums exceed the WTP-implied parity requirement in every matched pair, by about $6,100 for the high-budget car and $15,700 (car) and $16,900 (SUV) for the lower-budget pairs. HEV results are mixed: the high-budget car HEV appears underpriced, while the high-budget SUV HEV is priced above its WTP-implied premium.</w:t>
      </w:r>
    </w:p>
    <w:p w14:paraId="22A7C7CB" w14:textId="77777777" w:rsidR="00DC4A4A" w:rsidRDefault="00000000">
      <w:pPr>
        <w:pStyle w:val="Heading2"/>
      </w:pPr>
      <w:bookmarkStart w:id="4" w:name="implications"/>
      <w:bookmarkEnd w:id="3"/>
      <w:r>
        <w:t>Implications</w:t>
      </w:r>
    </w:p>
    <w:p w14:paraId="19A877F0" w14:textId="77777777" w:rsidR="00DC4A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Incentive size.</w:t>
      </w:r>
      <w:r>
        <w:t xml:space="preserve"> The former $4,000 used clean vehicle credit covers only the gap for high-budget car buyers considering longer-range BEVs; other segments would need roughly $8,000–$19,000.</w:t>
      </w:r>
    </w:p>
    <w:p w14:paraId="6F0DE6B6" w14:textId="77777777" w:rsidR="00DC4A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Targeting.</w:t>
      </w:r>
      <w:r>
        <w:t xml:space="preserve"> Its $25,000 price cap excludes most 250–300-mile used BEVs, the configuration nearest parity.</w:t>
      </w:r>
    </w:p>
    <w:p w14:paraId="0358BAA0" w14:textId="77777777" w:rsidR="00DC4A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Non-price instruments.</w:t>
      </w:r>
      <w:r>
        <w:t xml:space="preserve"> Battery health disclosure, certification, and transferable warranties could address age-related uncertainty at lower fiscal cost.</w:t>
      </w:r>
    </w:p>
    <w:p w14:paraId="7DFC2BD1" w14:textId="77777777" w:rsidR="00DC4A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Hybrids.</w:t>
      </w:r>
      <w:r>
        <w:t xml:space="preserve"> HEVs already carry a positive WTP premium among high-budget buyers.</w:t>
      </w:r>
    </w:p>
    <w:p w14:paraId="4E29EAC2" w14:textId="77777777" w:rsidR="00DC4A4A" w:rsidRDefault="00000000">
      <w:pPr>
        <w:pStyle w:val="FirstParagraph"/>
      </w:pPr>
      <w:r>
        <w:t>Overall, the results support segment-aware policy rather than a single instrument.</w:t>
      </w:r>
    </w:p>
    <w:p w14:paraId="391FFBCE" w14:textId="77777777" w:rsidR="00DC4A4A" w:rsidRDefault="00000000">
      <w:pPr>
        <w:pStyle w:val="Heading2"/>
      </w:pPr>
      <w:bookmarkStart w:id="5" w:name="limitations"/>
      <w:bookmarkEnd w:id="4"/>
      <w:r>
        <w:t>Limitations</w:t>
      </w:r>
    </w:p>
    <w:p w14:paraId="1B0BD3D2" w14:textId="77777777" w:rsidR="00DC4A4A" w:rsidRDefault="00000000">
      <w:pPr>
        <w:pStyle w:val="FirstParagraph"/>
      </w:pPr>
      <w:r>
        <w:t>Results rely on stated preferences from an online panel, and the real-market comparison uses few matched pairs at a single vehicle age. Future work could add a PHEV level, estimate latent-class models, and validate against revealed data.</w:t>
      </w:r>
      <w:bookmarkEnd w:id="0"/>
      <w:bookmarkEnd w:id="5"/>
    </w:p>
    <w:sectPr w:rsidR="00DC4A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CEA7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38A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0120334">
    <w:abstractNumId w:val="0"/>
  </w:num>
  <w:num w:numId="2" w16cid:durableId="80027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A4A"/>
    <w:rsid w:val="002036D9"/>
    <w:rsid w:val="004837EB"/>
    <w:rsid w:val="00DC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C512"/>
  <w15:docId w15:val="{58F45FF4-89C2-410D-BCED-9F0F66E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Hoda, Zain</cp:lastModifiedBy>
  <cp:revision>2</cp:revision>
  <dcterms:created xsi:type="dcterms:W3CDTF">2026-09-30T03:52:00Z</dcterms:created>
  <dcterms:modified xsi:type="dcterms:W3CDTF">2026-09-30T13:33:00Z</dcterms:modified>
</cp:coreProperties>
</file>