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Industry-Level Engagement Report</w:t>
      </w:r>
    </w:p>
    <w:p>
      <w:r>
        <w:t>This report provides a high-level analysis of email engagement performance by industry, based on our recent outreach campaign. Using fuzzy-matched company names from Apollo and our internal industry segmentation list, we were able to assess how well different industries responded to our messaging.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Industry</w:t>
            </w:r>
          </w:p>
        </w:tc>
        <w:tc>
          <w:tcPr>
            <w:tcW w:type="dxa" w:w="1440"/>
          </w:tcPr>
          <w:p>
            <w:r>
              <w:t>Emails Sent</w:t>
            </w:r>
          </w:p>
        </w:tc>
        <w:tc>
          <w:tcPr>
            <w:tcW w:type="dxa" w:w="1440"/>
          </w:tcPr>
          <w:p>
            <w:r>
              <w:t>Opens</w:t>
            </w:r>
          </w:p>
        </w:tc>
        <w:tc>
          <w:tcPr>
            <w:tcW w:type="dxa" w:w="1440"/>
          </w:tcPr>
          <w:p>
            <w:r>
              <w:t>Clicks</w:t>
            </w:r>
          </w:p>
        </w:tc>
        <w:tc>
          <w:tcPr>
            <w:tcW w:type="dxa" w:w="1440"/>
          </w:tcPr>
          <w:p>
            <w:r>
              <w:t>Open Rate (%)</w:t>
            </w:r>
          </w:p>
        </w:tc>
        <w:tc>
          <w:tcPr>
            <w:tcW w:type="dxa" w:w="1440"/>
          </w:tcPr>
          <w:p>
            <w:r>
              <w:t>Click Rate (%)</w:t>
            </w:r>
          </w:p>
        </w:tc>
      </w:tr>
      <w:tr>
        <w:tc>
          <w:tcPr>
            <w:tcW w:type="dxa" w:w="1440"/>
          </w:tcPr>
          <w:p>
            <w:r>
              <w:t>Construction and Engineering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Consumer Packaged Goods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Education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</w:tr>
      <w:tr>
        <w:tc>
          <w:tcPr>
            <w:tcW w:type="dxa" w:w="1440"/>
          </w:tcPr>
          <w:p>
            <w:r>
              <w:t>Energy and Water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Financial Services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32.35%</w:t>
            </w:r>
          </w:p>
        </w:tc>
      </w:tr>
      <w:tr>
        <w:tc>
          <w:tcPr>
            <w:tcW w:type="dxa" w:w="1440"/>
          </w:tcPr>
          <w:p>
            <w:r>
              <w:t>Healthcare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High Technology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Industrial Manufacturing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10.0%</w:t>
            </w:r>
          </w:p>
        </w:tc>
      </w:tr>
      <w:tr>
        <w:tc>
          <w:tcPr>
            <w:tcW w:type="dxa" w:w="1440"/>
          </w:tcPr>
          <w:p>
            <w:r>
              <w:t>Life Sciences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Oracle Internal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Professional Services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Wholesale, Transportation and Logistics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66.67%</w:t>
            </w:r>
          </w:p>
        </w:tc>
      </w:tr>
    </w:tbl>
    <w:p>
      <w:pPr>
        <w:pStyle w:val="Heading2"/>
      </w:pPr>
      <w:r>
        <w:br/>
        <w:t>Key Insights:</w:t>
      </w:r>
    </w:p>
    <w:p>
      <w:r>
        <w:t>- Financial Services was our most engaged industry with the highest email volume and strong click-through rates. This is a clear segment to prioritize for retargeting.</w:t>
        <w:br/>
        <w:t>- Education had a smaller sample size but a high click rate, suggesting potential with more tailored messaging.</w:t>
        <w:br/>
        <w:t>- Construction, Energy, and Consumer Packaged Goods showed good open rates but zero click engagement, indicating a need for content refinement.</w:t>
        <w:br/>
        <w:t>- While all industries achieved a 100% open rate, we received no replies—this points to improving our CTA clarity or making next steps more compelling.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