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SysID Plant and Excitation Comparison Report</w:t>
      </w:r>
    </w:p>
    <w:p>
      <w:pPr>
        <w:jc w:val="center"/>
      </w:pPr>
      <w:r>
        <w:rPr>
          <w:color w:val="586372"/>
          <w:sz w:val="18"/>
        </w:rPr>
        <w:t>Generated from the dashboard backend model on 2026-06-03 20:00:42</w:t>
      </w:r>
    </w:p>
    <w:p>
      <w:pPr>
        <w:pStyle w:val="Heading1"/>
      </w:pPr>
      <w:r>
        <w:t>Table of Contents</w:t>
      </w:r>
    </w:p>
    <w:p>
      <w:r>
        <w:t>1. Objective and reference basis</w:t>
      </w:r>
    </w:p>
    <w:p>
      <w:r>
        <w:t>2. How the dashboard model generated the results</w:t>
      </w:r>
    </w:p>
    <w:p>
      <w:r>
        <w:t>3. Why SysID changes with plant, excitation, amplitude, and noise</w:t>
      </w:r>
    </w:p>
    <w:p>
      <w:r>
        <w:t>4. Plant and excitation comparison</w:t>
      </w:r>
    </w:p>
    <w:p>
      <w:r>
        <w:t>5. Sensitivity analysis</w:t>
      </w:r>
    </w:p>
    <w:p>
      <w:r>
        <w:t>6. Conclusion and stored artifacts</w:t>
      </w:r>
    </w:p>
    <w:p>
      <w:pPr>
        <w:pStyle w:val="Heading1"/>
      </w:pPr>
      <w:r>
        <w:t>1. Objective and Reference Basis</w:t>
      </w:r>
    </w:p>
    <w:p>
      <w:r>
        <w:t>This report runs the current dashboard simulator and SysID estimator for plants P01-P10 across the available excitation profiles. It also runs simple sensitivity cases for excitation amplitude, tension sensor noise, and roller-speed noise.</w:t>
      </w:r>
    </w:p>
    <w:p>
      <w:r>
        <w:t>Reference basis: the supplementary material provides the ten plant EA values and damping/regime labels in Table S12, and the state-space matrix structure in Table S13. The extracted dashboard reference does not contain numeric per-plant arrays for R, J, f, L, or b, so the current dashboard model varies EA by plant and keeps the baseline arrays for those other parameters.</w:t>
      </w:r>
    </w:p>
    <w:p>
      <w:r>
        <w:t>Because the supplement does not provide a numeric SysID RMSE table for every plant/excitation pair, the comparison difference reported here is the estimator error against the simulator truth used by the dashboard model: RMSE_theta plus parameter relative-error columns in the stored CSV files.</w:t>
      </w:r>
    </w:p>
    <w:p>
      <w:pPr>
        <w:pStyle w:val="Heading1"/>
      </w:pPr>
      <w:r>
        <w:t>2. How the Dashboard Model Generated the Results</w:t>
      </w:r>
    </w:p>
    <w:p>
      <w:r>
        <w:t>Each case runs a 4 s closed-loop simulation with 1 ms RK4 physics integration and 10 ms PLC logging. The SysID estimator then solves finite-difference regression equations for kt_UW, kt_Nip, kt_RW, kf_UW, kf_Nip, kf_RW, and EA.</w:t>
      </w:r>
    </w:p>
    <w:p>
      <w:r>
        <w:t>A lower RMSE_theta means the estimated parameter vector is closer to the simulator truth. For high-EA plants outside the extracted baseline range, the dashboard currently recommends zero excitation for numerical safety; those rows are useful weak-excitation checks, not full dynamic paper reproduction.</w:t>
      </w:r>
    </w:p>
    <w:p>
      <w:pPr>
        <w:pStyle w:val="Heading1"/>
      </w:pPr>
      <w:r>
        <w:t>3. Why SysID Results Change</w:t>
      </w:r>
    </w:p>
    <w:p>
      <w:r>
        <w:t>Excitation changes the result because SysID is a regression problem: different profiles excite different combinations of roller velocity and web-tension states. A profile that does not move the needed states makes the normal equations weak or ill-conditioned.</w:t>
      </w:r>
    </w:p>
    <w:p>
      <w:r>
        <w:t>Plant type changes the result because EA changes the stiffness and the speed-to-tension gain. The supplement also says each plant has different per-roller arrays, but the current dashboard reference only exposes EA numerically; R, J, f, L, and b remain baseline arrays in this run.</w:t>
      </w:r>
    </w:p>
    <w:p>
      <w:r>
        <w:t>Amplitude changes the signal-to-noise ratio. Too low amplitude gives weak parameter excitation, while too high amplitude can push the reduced model into biased or unstable behavior. The useful region is the moderate range where the state motion is visible but still controlled.</w:t>
      </w:r>
    </w:p>
    <w:p>
      <w:r>
        <w:t>Tension noise directly disturbs the finite-difference tension equation, so it mainly affects EA and any result that depends on tension derivatives.</w:t>
      </w:r>
    </w:p>
    <w:p>
      <w:r>
        <w:t>Omega noise disturbs roller-speed derivatives, so it mainly affects the kt and kf estimates from roller dynamics.</w:t>
      </w:r>
    </w:p>
    <w:p>
      <w:pPr>
        <w:pStyle w:val="Heading1"/>
      </w:pPr>
      <w:r>
        <w:t>4. Plant and Excitation Comparison</w:t>
      </w:r>
    </w:p>
    <w:p>
      <w:pPr>
        <w:jc w:val="center"/>
      </w:pPr>
      <w:r>
        <w:drawing>
          <wp:inline xmlns:a="http://schemas.openxmlformats.org/drawingml/2006/main" xmlns:pic="http://schemas.openxmlformats.org/drawingml/2006/picture">
            <wp:extent cx="6309360" cy="4371840"/>
            <wp:docPr id="1" name="Picture 1"/>
            <wp:cNvGraphicFramePr>
              <a:graphicFrameLocks noChangeAspect="1"/>
            </wp:cNvGraphicFramePr>
            <a:graphic>
              <a:graphicData uri="http://schemas.openxmlformats.org/drawingml/2006/picture">
                <pic:pic>
                  <pic:nvPicPr>
                    <pic:cNvPr id="0" name="sysid_plant_excitation_heatmap.png"/>
                    <pic:cNvPicPr/>
                  </pic:nvPicPr>
                  <pic:blipFill>
                    <a:blip r:embed="rId9"/>
                    <a:stretch>
                      <a:fillRect/>
                    </a:stretch>
                  </pic:blipFill>
                  <pic:spPr>
                    <a:xfrm>
                      <a:off x="0" y="0"/>
                      <a:ext cx="6309360" cy="4371840"/>
                    </a:xfrm>
                    <a:prstGeom prst="rect"/>
                  </pic:spPr>
                </pic:pic>
              </a:graphicData>
            </a:graphic>
          </wp:inline>
        </w:drawing>
      </w:r>
    </w:p>
    <w:p>
      <w:pPr>
        <w:jc w:val="center"/>
      </w:pPr>
      <w:r>
        <w:rPr>
          <w:i/>
          <w:sz w:val="17"/>
        </w:rPr>
        <w:t>Figure 1. Heatmap of RMSE_theta for each plant/excitation pair. Lower values are better.</w:t>
      </w:r>
    </w:p>
    <w:p>
      <w:pPr>
        <w:jc w:val="center"/>
      </w:pPr>
      <w:r>
        <w:drawing>
          <wp:inline xmlns:a="http://schemas.openxmlformats.org/drawingml/2006/main" xmlns:pic="http://schemas.openxmlformats.org/drawingml/2006/picture">
            <wp:extent cx="6309360" cy="3849779"/>
            <wp:docPr id="2" name="Picture 2"/>
            <wp:cNvGraphicFramePr>
              <a:graphicFrameLocks noChangeAspect="1"/>
            </wp:cNvGraphicFramePr>
            <a:graphic>
              <a:graphicData uri="http://schemas.openxmlformats.org/drawingml/2006/picture">
                <pic:pic>
                  <pic:nvPicPr>
                    <pic:cNvPr id="0" name="sysid_excitation_average_bars.png"/>
                    <pic:cNvPicPr/>
                  </pic:nvPicPr>
                  <pic:blipFill>
                    <a:blip r:embed="rId10"/>
                    <a:stretch>
                      <a:fillRect/>
                    </a:stretch>
                  </pic:blipFill>
                  <pic:spPr>
                    <a:xfrm>
                      <a:off x="0" y="0"/>
                      <a:ext cx="6309360" cy="3849779"/>
                    </a:xfrm>
                    <a:prstGeom prst="rect"/>
                  </pic:spPr>
                </pic:pic>
              </a:graphicData>
            </a:graphic>
          </wp:inline>
        </w:drawing>
      </w:r>
    </w:p>
    <w:p>
      <w:pPr>
        <w:jc w:val="center"/>
      </w:pPr>
      <w:r>
        <w:rPr>
          <w:i/>
          <w:sz w:val="17"/>
        </w:rPr>
        <w:t>Figure 2. Average RMSE_theta by excitation, shown for all plants and for the dynamic baseline-compatible cases.</w:t>
      </w:r>
    </w:p>
    <w:p>
      <w:pPr>
        <w:jc w:val="center"/>
      </w:pPr>
      <w:r>
        <w:drawing>
          <wp:inline xmlns:a="http://schemas.openxmlformats.org/drawingml/2006/main" xmlns:pic="http://schemas.openxmlformats.org/drawingml/2006/picture">
            <wp:extent cx="6309360" cy="3867027"/>
            <wp:docPr id="3" name="Picture 3"/>
            <wp:cNvGraphicFramePr>
              <a:graphicFrameLocks noChangeAspect="1"/>
            </wp:cNvGraphicFramePr>
            <a:graphic>
              <a:graphicData uri="http://schemas.openxmlformats.org/drawingml/2006/picture">
                <pic:pic>
                  <pic:nvPicPr>
                    <pic:cNvPr id="0" name="sysid_best_excitation_by_plant.png"/>
                    <pic:cNvPicPr/>
                  </pic:nvPicPr>
                  <pic:blipFill>
                    <a:blip r:embed="rId11"/>
                    <a:stretch>
                      <a:fillRect/>
                    </a:stretch>
                  </pic:blipFill>
                  <pic:spPr>
                    <a:xfrm>
                      <a:off x="0" y="0"/>
                      <a:ext cx="6309360" cy="3867027"/>
                    </a:xfrm>
                    <a:prstGeom prst="rect"/>
                  </pic:spPr>
                </pic:pic>
              </a:graphicData>
            </a:graphic>
          </wp:inline>
        </w:drawing>
      </w:r>
    </w:p>
    <w:p>
      <w:pPr>
        <w:jc w:val="center"/>
      </w:pPr>
      <w:r>
        <w:rPr>
          <w:i/>
          <w:sz w:val="17"/>
        </w:rPr>
        <w:t>Figure 3. Best available result per plant. Gray bars indicate zero-input safety-policy cases.</w:t>
      </w:r>
    </w:p>
    <w:p>
      <w:pPr>
        <w:pStyle w:val="Heading2"/>
      </w:pPr>
      <w:r>
        <w:t>Best Result by Plant</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E8F1FF"/>
            <w:vAlign w:val="center"/>
          </w:tcPr>
          <w:p>
            <w:r>
              <w:rPr>
                <w:b/>
                <w:sz w:val="17"/>
              </w:rPr>
              <w:t>Plant</w:t>
            </w:r>
          </w:p>
        </w:tc>
        <w:tc>
          <w:tcPr>
            <w:tcW w:type="dxa" w:w="1278"/>
            <w:shd w:fill="E8F1FF"/>
            <w:vAlign w:val="center"/>
          </w:tcPr>
          <w:p>
            <w:r>
              <w:rPr>
                <w:b/>
                <w:sz w:val="17"/>
              </w:rPr>
              <w:t>Material</w:t>
            </w:r>
          </w:p>
        </w:tc>
        <w:tc>
          <w:tcPr>
            <w:tcW w:type="dxa" w:w="1278"/>
            <w:shd w:fill="E8F1FF"/>
            <w:vAlign w:val="center"/>
          </w:tcPr>
          <w:p>
            <w:r>
              <w:rPr>
                <w:b/>
                <w:sz w:val="17"/>
              </w:rPr>
              <w:t>Scale</w:t>
            </w:r>
          </w:p>
        </w:tc>
        <w:tc>
          <w:tcPr>
            <w:tcW w:type="dxa" w:w="1278"/>
            <w:shd w:fill="E8F1FF"/>
            <w:vAlign w:val="center"/>
          </w:tcPr>
          <w:p>
            <w:r>
              <w:rPr>
                <w:b/>
                <w:sz w:val="17"/>
              </w:rPr>
              <w:t>EA (N)</w:t>
            </w:r>
          </w:p>
        </w:tc>
        <w:tc>
          <w:tcPr>
            <w:tcW w:type="dxa" w:w="1278"/>
            <w:shd w:fill="E8F1FF"/>
            <w:vAlign w:val="center"/>
          </w:tcPr>
          <w:p>
            <w:r>
              <w:rPr>
                <w:b/>
                <w:sz w:val="17"/>
              </w:rPr>
              <w:t>Regime</w:t>
            </w:r>
          </w:p>
        </w:tc>
        <w:tc>
          <w:tcPr>
            <w:tcW w:type="dxa" w:w="1278"/>
            <w:shd w:fill="E8F1FF"/>
            <w:vAlign w:val="center"/>
          </w:tcPr>
          <w:p>
            <w:r>
              <w:rPr>
                <w:b/>
                <w:sz w:val="17"/>
              </w:rPr>
              <w:t>Amp (V)</w:t>
            </w:r>
          </w:p>
        </w:tc>
        <w:tc>
          <w:tcPr>
            <w:tcW w:type="dxa" w:w="1278"/>
            <w:shd w:fill="E8F1FF"/>
            <w:vAlign w:val="center"/>
          </w:tcPr>
          <w:p>
            <w:r>
              <w:rPr>
                <w:b/>
                <w:sz w:val="17"/>
              </w:rPr>
              <w:t>Best excitation</w:t>
            </w:r>
          </w:p>
        </w:tc>
        <w:tc>
          <w:tcPr>
            <w:tcW w:type="dxa" w:w="1278"/>
            <w:shd w:fill="E8F1FF"/>
            <w:vAlign w:val="center"/>
          </w:tcPr>
          <w:p>
            <w:r>
              <w:rPr>
                <w:b/>
                <w:sz w:val="17"/>
              </w:rPr>
              <w:t>Best RMSE</w:t>
            </w:r>
          </w:p>
        </w:tc>
      </w:tr>
      <w:tr>
        <w:tc>
          <w:tcPr>
            <w:tcW w:type="dxa" w:w="1278"/>
            <w:vAlign w:val="center"/>
          </w:tcPr>
          <w:p>
            <w:r>
              <w:rPr>
                <w:sz w:val="16"/>
              </w:rPr>
              <w:t>P01</w:t>
            </w:r>
          </w:p>
        </w:tc>
        <w:tc>
          <w:tcPr>
            <w:tcW w:type="dxa" w:w="1278"/>
            <w:vAlign w:val="center"/>
          </w:tcPr>
          <w:p>
            <w:r>
              <w:rPr>
                <w:sz w:val="16"/>
              </w:rPr>
              <w:t>PE</w:t>
            </w:r>
          </w:p>
        </w:tc>
        <w:tc>
          <w:tcPr>
            <w:tcW w:type="dxa" w:w="1278"/>
            <w:vAlign w:val="center"/>
          </w:tcPr>
          <w:p>
            <w:r>
              <w:rPr>
                <w:sz w:val="16"/>
              </w:rPr>
              <w:t>lab</w:t>
            </w:r>
          </w:p>
        </w:tc>
        <w:tc>
          <w:tcPr>
            <w:tcW w:type="dxa" w:w="1278"/>
            <w:vAlign w:val="center"/>
          </w:tcPr>
          <w:p>
            <w:r>
              <w:rPr>
                <w:sz w:val="16"/>
              </w:rPr>
              <w:t>3,200</w:t>
            </w:r>
          </w:p>
        </w:tc>
        <w:tc>
          <w:tcPr>
            <w:tcW w:type="dxa" w:w="1278"/>
            <w:vAlign w:val="center"/>
          </w:tcPr>
          <w:p>
            <w:r>
              <w:rPr>
                <w:sz w:val="16"/>
              </w:rPr>
              <w:t>O-UD</w:t>
            </w:r>
          </w:p>
        </w:tc>
        <w:tc>
          <w:tcPr>
            <w:tcW w:type="dxa" w:w="1278"/>
            <w:vAlign w:val="center"/>
          </w:tcPr>
          <w:p>
            <w:r>
              <w:rPr>
                <w:sz w:val="16"/>
              </w:rPr>
              <w:t>0.08</w:t>
            </w:r>
          </w:p>
        </w:tc>
        <w:tc>
          <w:tcPr>
            <w:tcW w:type="dxa" w:w="1278"/>
            <w:vAlign w:val="center"/>
          </w:tcPr>
          <w:p>
            <w:r>
              <w:rPr>
                <w:sz w:val="16"/>
              </w:rPr>
              <w:t>ET1</w:t>
            </w:r>
          </w:p>
        </w:tc>
        <w:tc>
          <w:tcPr>
            <w:tcW w:type="dxa" w:w="1278"/>
            <w:vAlign w:val="center"/>
          </w:tcPr>
          <w:p>
            <w:r>
              <w:rPr>
                <w:sz w:val="16"/>
              </w:rPr>
              <w:t>8.265e-04</w:t>
            </w:r>
          </w:p>
        </w:tc>
      </w:tr>
      <w:tr>
        <w:tc>
          <w:tcPr>
            <w:tcW w:type="dxa" w:w="1278"/>
            <w:vAlign w:val="center"/>
          </w:tcPr>
          <w:p>
            <w:r>
              <w:rPr>
                <w:sz w:val="16"/>
              </w:rPr>
              <w:t>P02</w:t>
            </w:r>
          </w:p>
        </w:tc>
        <w:tc>
          <w:tcPr>
            <w:tcW w:type="dxa" w:w="1278"/>
            <w:vAlign w:val="center"/>
          </w:tcPr>
          <w:p>
            <w:r>
              <w:rPr>
                <w:sz w:val="16"/>
              </w:rPr>
              <w:t>PET</w:t>
            </w:r>
          </w:p>
        </w:tc>
        <w:tc>
          <w:tcPr>
            <w:tcW w:type="dxa" w:w="1278"/>
            <w:vAlign w:val="center"/>
          </w:tcPr>
          <w:p>
            <w:r>
              <w:rPr>
                <w:sz w:val="16"/>
              </w:rPr>
              <w:t>lab</w:t>
            </w:r>
          </w:p>
        </w:tc>
        <w:tc>
          <w:tcPr>
            <w:tcW w:type="dxa" w:w="1278"/>
            <w:vAlign w:val="center"/>
          </w:tcPr>
          <w:p>
            <w:r>
              <w:rPr>
                <w:sz w:val="16"/>
              </w:rPr>
              <w:t>9,600</w:t>
            </w:r>
          </w:p>
        </w:tc>
        <w:tc>
          <w:tcPr>
            <w:tcW w:type="dxa" w:w="1278"/>
            <w:vAlign w:val="center"/>
          </w:tcPr>
          <w:p>
            <w:r>
              <w:rPr>
                <w:sz w:val="16"/>
              </w:rPr>
              <w:t>O-UD</w:t>
            </w:r>
          </w:p>
        </w:tc>
        <w:tc>
          <w:tcPr>
            <w:tcW w:type="dxa" w:w="1278"/>
            <w:vAlign w:val="center"/>
          </w:tcPr>
          <w:p>
            <w:r>
              <w:rPr>
                <w:sz w:val="16"/>
              </w:rPr>
              <w:t>0.04619</w:t>
            </w:r>
          </w:p>
        </w:tc>
        <w:tc>
          <w:tcPr>
            <w:tcW w:type="dxa" w:w="1278"/>
            <w:vAlign w:val="center"/>
          </w:tcPr>
          <w:p>
            <w:r>
              <w:rPr>
                <w:sz w:val="16"/>
              </w:rPr>
              <w:t>E_Toggle</w:t>
            </w:r>
          </w:p>
        </w:tc>
        <w:tc>
          <w:tcPr>
            <w:tcW w:type="dxa" w:w="1278"/>
            <w:vAlign w:val="center"/>
          </w:tcPr>
          <w:p>
            <w:r>
              <w:rPr>
                <w:sz w:val="16"/>
              </w:rPr>
              <w:t>1.491e+09</w:t>
            </w:r>
          </w:p>
        </w:tc>
      </w:tr>
      <w:tr>
        <w:tc>
          <w:tcPr>
            <w:tcW w:type="dxa" w:w="1278"/>
            <w:vAlign w:val="center"/>
          </w:tcPr>
          <w:p>
            <w:r>
              <w:rPr>
                <w:sz w:val="16"/>
              </w:rPr>
              <w:t>P03</w:t>
            </w:r>
          </w:p>
        </w:tc>
        <w:tc>
          <w:tcPr>
            <w:tcW w:type="dxa" w:w="1278"/>
            <w:vAlign w:val="center"/>
          </w:tcPr>
          <w:p>
            <w:r>
              <w:rPr>
                <w:sz w:val="16"/>
              </w:rPr>
              <w:t>PET</w:t>
            </w:r>
          </w:p>
        </w:tc>
        <w:tc>
          <w:tcPr>
            <w:tcW w:type="dxa" w:w="1278"/>
            <w:vAlign w:val="center"/>
          </w:tcPr>
          <w:p>
            <w:r>
              <w:rPr>
                <w:sz w:val="16"/>
              </w:rPr>
              <w:t>lab</w:t>
            </w:r>
          </w:p>
        </w:tc>
        <w:tc>
          <w:tcPr>
            <w:tcW w:type="dxa" w:w="1278"/>
            <w:vAlign w:val="center"/>
          </w:tcPr>
          <w:p>
            <w:r>
              <w:rPr>
                <w:sz w:val="16"/>
              </w:rPr>
              <w:t>40,000</w:t>
            </w:r>
          </w:p>
        </w:tc>
        <w:tc>
          <w:tcPr>
            <w:tcW w:type="dxa" w:w="1278"/>
            <w:vAlign w:val="center"/>
          </w:tcPr>
          <w:p>
            <w:r>
              <w:rPr>
                <w:sz w:val="16"/>
              </w:rPr>
              <w:t>H-Osc</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P04</w:t>
            </w:r>
          </w:p>
        </w:tc>
        <w:tc>
          <w:tcPr>
            <w:tcW w:type="dxa" w:w="1278"/>
            <w:vAlign w:val="center"/>
          </w:tcPr>
          <w:p>
            <w:r>
              <w:rPr>
                <w:sz w:val="16"/>
              </w:rPr>
              <w:t>PET</w:t>
            </w:r>
          </w:p>
        </w:tc>
        <w:tc>
          <w:tcPr>
            <w:tcW w:type="dxa" w:w="1278"/>
            <w:vAlign w:val="center"/>
          </w:tcPr>
          <w:p>
            <w:r>
              <w:rPr>
                <w:sz w:val="16"/>
              </w:rPr>
              <w:t>pilot</w:t>
            </w:r>
          </w:p>
        </w:tc>
        <w:tc>
          <w:tcPr>
            <w:tcW w:type="dxa" w:w="1278"/>
            <w:vAlign w:val="center"/>
          </w:tcPr>
          <w:p>
            <w:r>
              <w:rPr>
                <w:sz w:val="16"/>
              </w:rPr>
              <w:t>50,000</w:t>
            </w:r>
          </w:p>
        </w:tc>
        <w:tc>
          <w:tcPr>
            <w:tcW w:type="dxa" w:w="1278"/>
            <w:vAlign w:val="center"/>
          </w:tcPr>
          <w:p>
            <w:r>
              <w:rPr>
                <w:sz w:val="16"/>
              </w:rPr>
              <w:t>O-UD</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P05</w:t>
            </w:r>
          </w:p>
        </w:tc>
        <w:tc>
          <w:tcPr>
            <w:tcW w:type="dxa" w:w="1278"/>
            <w:vAlign w:val="center"/>
          </w:tcPr>
          <w:p>
            <w:r>
              <w:rPr>
                <w:sz w:val="16"/>
              </w:rPr>
              <w:t>Paper</w:t>
            </w:r>
          </w:p>
        </w:tc>
        <w:tc>
          <w:tcPr>
            <w:tcW w:type="dxa" w:w="1278"/>
            <w:vAlign w:val="center"/>
          </w:tcPr>
          <w:p>
            <w:r>
              <w:rPr>
                <w:sz w:val="16"/>
              </w:rPr>
              <w:t>prod</w:t>
            </w:r>
          </w:p>
        </w:tc>
        <w:tc>
          <w:tcPr>
            <w:tcW w:type="dxa" w:w="1278"/>
            <w:vAlign w:val="center"/>
          </w:tcPr>
          <w:p>
            <w:r>
              <w:rPr>
                <w:sz w:val="16"/>
              </w:rPr>
              <w:t>144,000</w:t>
            </w:r>
          </w:p>
        </w:tc>
        <w:tc>
          <w:tcPr>
            <w:tcW w:type="dxa" w:w="1278"/>
            <w:vAlign w:val="center"/>
          </w:tcPr>
          <w:p>
            <w:r>
              <w:rPr>
                <w:sz w:val="16"/>
              </w:rPr>
              <w:t>O-UD</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P06</w:t>
            </w:r>
          </w:p>
        </w:tc>
        <w:tc>
          <w:tcPr>
            <w:tcW w:type="dxa" w:w="1278"/>
            <w:vAlign w:val="center"/>
          </w:tcPr>
          <w:p>
            <w:r>
              <w:rPr>
                <w:sz w:val="16"/>
              </w:rPr>
              <w:t>Al</w:t>
            </w:r>
          </w:p>
        </w:tc>
        <w:tc>
          <w:tcPr>
            <w:tcW w:type="dxa" w:w="1278"/>
            <w:vAlign w:val="center"/>
          </w:tcPr>
          <w:p>
            <w:r>
              <w:rPr>
                <w:sz w:val="16"/>
              </w:rPr>
              <w:t>lab</w:t>
            </w:r>
          </w:p>
        </w:tc>
        <w:tc>
          <w:tcPr>
            <w:tcW w:type="dxa" w:w="1278"/>
            <w:vAlign w:val="center"/>
          </w:tcPr>
          <w:p>
            <w:r>
              <w:rPr>
                <w:sz w:val="16"/>
              </w:rPr>
              <w:t>310,500</w:t>
            </w:r>
          </w:p>
        </w:tc>
        <w:tc>
          <w:tcPr>
            <w:tcW w:type="dxa" w:w="1278"/>
            <w:vAlign w:val="center"/>
          </w:tcPr>
          <w:p>
            <w:r>
              <w:rPr>
                <w:sz w:val="16"/>
              </w:rPr>
              <w:t>H-Damp</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P07</w:t>
            </w:r>
          </w:p>
        </w:tc>
        <w:tc>
          <w:tcPr>
            <w:tcW w:type="dxa" w:w="1278"/>
            <w:vAlign w:val="center"/>
          </w:tcPr>
          <w:p>
            <w:r>
              <w:rPr>
                <w:sz w:val="16"/>
              </w:rPr>
              <w:t>Al</w:t>
            </w:r>
          </w:p>
        </w:tc>
        <w:tc>
          <w:tcPr>
            <w:tcW w:type="dxa" w:w="1278"/>
            <w:vAlign w:val="center"/>
          </w:tcPr>
          <w:p>
            <w:r>
              <w:rPr>
                <w:sz w:val="16"/>
              </w:rPr>
              <w:t>pilot</w:t>
            </w:r>
          </w:p>
        </w:tc>
        <w:tc>
          <w:tcPr>
            <w:tcW w:type="dxa" w:w="1278"/>
            <w:vAlign w:val="center"/>
          </w:tcPr>
          <w:p>
            <w:r>
              <w:rPr>
                <w:sz w:val="16"/>
              </w:rPr>
              <w:t>414,000</w:t>
            </w:r>
          </w:p>
        </w:tc>
        <w:tc>
          <w:tcPr>
            <w:tcW w:type="dxa" w:w="1278"/>
            <w:vAlign w:val="center"/>
          </w:tcPr>
          <w:p>
            <w:r>
              <w:rPr>
                <w:sz w:val="16"/>
              </w:rPr>
              <w:t>H-Osc</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P08</w:t>
            </w:r>
          </w:p>
        </w:tc>
        <w:tc>
          <w:tcPr>
            <w:tcW w:type="dxa" w:w="1278"/>
            <w:vAlign w:val="center"/>
          </w:tcPr>
          <w:p>
            <w:r>
              <w:rPr>
                <w:sz w:val="16"/>
              </w:rPr>
              <w:t>Al</w:t>
            </w:r>
          </w:p>
        </w:tc>
        <w:tc>
          <w:tcPr>
            <w:tcW w:type="dxa" w:w="1278"/>
            <w:vAlign w:val="center"/>
          </w:tcPr>
          <w:p>
            <w:r>
              <w:rPr>
                <w:sz w:val="16"/>
              </w:rPr>
              <w:t>prod</w:t>
            </w:r>
          </w:p>
        </w:tc>
        <w:tc>
          <w:tcPr>
            <w:tcW w:type="dxa" w:w="1278"/>
            <w:vAlign w:val="center"/>
          </w:tcPr>
          <w:p>
            <w:r>
              <w:rPr>
                <w:sz w:val="16"/>
              </w:rPr>
              <w:t>1.242e+06</w:t>
            </w:r>
          </w:p>
        </w:tc>
        <w:tc>
          <w:tcPr>
            <w:tcW w:type="dxa" w:w="1278"/>
            <w:vAlign w:val="center"/>
          </w:tcPr>
          <w:p>
            <w:r>
              <w:rPr>
                <w:sz w:val="16"/>
              </w:rPr>
              <w:t>O-UD</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P09</w:t>
            </w:r>
          </w:p>
        </w:tc>
        <w:tc>
          <w:tcPr>
            <w:tcW w:type="dxa" w:w="1278"/>
            <w:vAlign w:val="center"/>
          </w:tcPr>
          <w:p>
            <w:r>
              <w:rPr>
                <w:sz w:val="16"/>
              </w:rPr>
              <w:t>Cu</w:t>
            </w:r>
          </w:p>
        </w:tc>
        <w:tc>
          <w:tcPr>
            <w:tcW w:type="dxa" w:w="1278"/>
            <w:vAlign w:val="center"/>
          </w:tcPr>
          <w:p>
            <w:r>
              <w:rPr>
                <w:sz w:val="16"/>
              </w:rPr>
              <w:t>lab</w:t>
            </w:r>
          </w:p>
        </w:tc>
        <w:tc>
          <w:tcPr>
            <w:tcW w:type="dxa" w:w="1278"/>
            <w:vAlign w:val="center"/>
          </w:tcPr>
          <w:p>
            <w:r>
              <w:rPr>
                <w:sz w:val="16"/>
              </w:rPr>
              <w:t>351,000</w:t>
            </w:r>
          </w:p>
        </w:tc>
        <w:tc>
          <w:tcPr>
            <w:tcW w:type="dxa" w:w="1278"/>
            <w:vAlign w:val="center"/>
          </w:tcPr>
          <w:p>
            <w:r>
              <w:rPr>
                <w:sz w:val="16"/>
              </w:rPr>
              <w:t>H-Damp</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r>
        <w:tc>
          <w:tcPr>
            <w:tcW w:type="dxa" w:w="1278"/>
            <w:vAlign w:val="center"/>
          </w:tcPr>
          <w:p>
            <w:r>
              <w:rPr>
                <w:sz w:val="16"/>
              </w:rPr>
              <w:t>P10</w:t>
            </w:r>
          </w:p>
        </w:tc>
        <w:tc>
          <w:tcPr>
            <w:tcW w:type="dxa" w:w="1278"/>
            <w:vAlign w:val="center"/>
          </w:tcPr>
          <w:p>
            <w:r>
              <w:rPr>
                <w:sz w:val="16"/>
              </w:rPr>
              <w:t>Cu</w:t>
            </w:r>
          </w:p>
        </w:tc>
        <w:tc>
          <w:tcPr>
            <w:tcW w:type="dxa" w:w="1278"/>
            <w:vAlign w:val="center"/>
          </w:tcPr>
          <w:p>
            <w:r>
              <w:rPr>
                <w:sz w:val="16"/>
              </w:rPr>
              <w:t>pilot</w:t>
            </w:r>
          </w:p>
        </w:tc>
        <w:tc>
          <w:tcPr>
            <w:tcW w:type="dxa" w:w="1278"/>
            <w:vAlign w:val="center"/>
          </w:tcPr>
          <w:p>
            <w:r>
              <w:rPr>
                <w:sz w:val="16"/>
              </w:rPr>
              <w:t>351,000</w:t>
            </w:r>
          </w:p>
        </w:tc>
        <w:tc>
          <w:tcPr>
            <w:tcW w:type="dxa" w:w="1278"/>
            <w:vAlign w:val="center"/>
          </w:tcPr>
          <w:p>
            <w:r>
              <w:rPr>
                <w:sz w:val="16"/>
              </w:rPr>
              <w:t>O-UD</w:t>
            </w:r>
          </w:p>
        </w:tc>
        <w:tc>
          <w:tcPr>
            <w:tcW w:type="dxa" w:w="1278"/>
            <w:vAlign w:val="center"/>
          </w:tcPr>
          <w:p>
            <w:r>
              <w:rPr>
                <w:sz w:val="16"/>
              </w:rPr>
              <w:t>0</w:t>
            </w:r>
          </w:p>
        </w:tc>
        <w:tc>
          <w:tcPr>
            <w:tcW w:type="dxa" w:w="1278"/>
            <w:vAlign w:val="center"/>
          </w:tcPr>
          <w:p>
            <w:r>
              <w:rPr>
                <w:sz w:val="16"/>
              </w:rPr>
              <w:t>zero-input policy</w:t>
            </w:r>
          </w:p>
        </w:tc>
        <w:tc>
          <w:tcPr>
            <w:tcW w:type="dxa" w:w="1278"/>
            <w:vAlign w:val="center"/>
          </w:tcPr>
          <w:p>
            <w:r>
              <w:rPr>
                <w:sz w:val="16"/>
              </w:rPr>
              <w:t>0.8822</w:t>
            </w:r>
          </w:p>
        </w:tc>
      </w:tr>
    </w:tbl>
    <w:p>
      <w:pPr>
        <w:pStyle w:val="Heading2"/>
      </w:pPr>
      <w:r>
        <w:t>Average Result by Excitation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8F1FF"/>
            <w:vAlign w:val="center"/>
          </w:tcPr>
          <w:p>
            <w:r>
              <w:rPr>
                <w:b/>
                <w:sz w:val="17"/>
              </w:rPr>
              <w:t>Excitation</w:t>
            </w:r>
          </w:p>
        </w:tc>
        <w:tc>
          <w:tcPr>
            <w:tcW w:type="dxa" w:w="2045"/>
            <w:shd w:fill="E8F1FF"/>
            <w:vAlign w:val="center"/>
          </w:tcPr>
          <w:p>
            <w:r>
              <w:rPr>
                <w:b/>
                <w:sz w:val="17"/>
              </w:rPr>
              <w:t>All plants mean</w:t>
            </w:r>
          </w:p>
        </w:tc>
        <w:tc>
          <w:tcPr>
            <w:tcW w:type="dxa" w:w="2045"/>
            <w:shd w:fill="E8F1FF"/>
            <w:vAlign w:val="center"/>
          </w:tcPr>
          <w:p>
            <w:r>
              <w:rPr>
                <w:b/>
                <w:sz w:val="17"/>
              </w:rPr>
              <w:t>Dynamic P01-P02 mean</w:t>
            </w:r>
          </w:p>
        </w:tc>
        <w:tc>
          <w:tcPr>
            <w:tcW w:type="dxa" w:w="2045"/>
            <w:shd w:fill="E8F1FF"/>
            <w:vAlign w:val="center"/>
          </w:tcPr>
          <w:p>
            <w:r>
              <w:rPr>
                <w:b/>
                <w:sz w:val="17"/>
              </w:rPr>
              <w:t>Valid cases</w:t>
            </w:r>
          </w:p>
        </w:tc>
        <w:tc>
          <w:tcPr>
            <w:tcW w:type="dxa" w:w="2045"/>
            <w:shd w:fill="E8F1FF"/>
            <w:vAlign w:val="center"/>
          </w:tcPr>
          <w:p>
            <w:r>
              <w:rPr>
                <w:b/>
                <w:sz w:val="17"/>
              </w:rPr>
              <w:t>Dynamic cases</w:t>
            </w:r>
          </w:p>
        </w:tc>
      </w:tr>
      <w:tr>
        <w:tc>
          <w:tcPr>
            <w:tcW w:type="dxa" w:w="2045"/>
            <w:vAlign w:val="center"/>
          </w:tcPr>
          <w:p>
            <w:r>
              <w:rPr>
                <w:sz w:val="16"/>
              </w:rPr>
              <w:t>ET1</w:t>
            </w:r>
          </w:p>
        </w:tc>
        <w:tc>
          <w:tcPr>
            <w:tcW w:type="dxa" w:w="2045"/>
            <w:vAlign w:val="center"/>
          </w:tcPr>
          <w:p>
            <w:r>
              <w:rPr>
                <w:sz w:val="16"/>
              </w:rPr>
              <w:t>3.357e+14</w:t>
            </w:r>
          </w:p>
        </w:tc>
        <w:tc>
          <w:tcPr>
            <w:tcW w:type="dxa" w:w="2045"/>
            <w:vAlign w:val="center"/>
          </w:tcPr>
          <w:p>
            <w:r>
              <w:rPr>
                <w:sz w:val="16"/>
              </w:rPr>
              <w:t>1.679e+15</w:t>
            </w:r>
          </w:p>
        </w:tc>
        <w:tc>
          <w:tcPr>
            <w:tcW w:type="dxa" w:w="2045"/>
            <w:vAlign w:val="center"/>
          </w:tcPr>
          <w:p>
            <w:r>
              <w:rPr>
                <w:sz w:val="16"/>
              </w:rPr>
              <w:t>10.00</w:t>
            </w:r>
          </w:p>
        </w:tc>
        <w:tc>
          <w:tcPr>
            <w:tcW w:type="dxa" w:w="2045"/>
            <w:vAlign w:val="center"/>
          </w:tcPr>
          <w:p>
            <w:r>
              <w:rPr>
                <w:sz w:val="16"/>
              </w:rPr>
              <w:t>2</w:t>
            </w:r>
          </w:p>
        </w:tc>
      </w:tr>
      <w:tr>
        <w:tc>
          <w:tcPr>
            <w:tcW w:type="dxa" w:w="2045"/>
            <w:vAlign w:val="center"/>
          </w:tcPr>
          <w:p>
            <w:r>
              <w:rPr>
                <w:sz w:val="16"/>
              </w:rPr>
              <w:t>ET3</w:t>
            </w:r>
          </w:p>
        </w:tc>
        <w:tc>
          <w:tcPr>
            <w:tcW w:type="dxa" w:w="2045"/>
            <w:vAlign w:val="center"/>
          </w:tcPr>
          <w:p>
            <w:r>
              <w:rPr>
                <w:sz w:val="16"/>
              </w:rPr>
              <w:t>1.645e+28</w:t>
            </w:r>
          </w:p>
        </w:tc>
        <w:tc>
          <w:tcPr>
            <w:tcW w:type="dxa" w:w="2045"/>
            <w:vAlign w:val="center"/>
          </w:tcPr>
          <w:p>
            <w:r>
              <w:rPr>
                <w:sz w:val="16"/>
              </w:rPr>
              <w:t>8.225e+28</w:t>
            </w:r>
          </w:p>
        </w:tc>
        <w:tc>
          <w:tcPr>
            <w:tcW w:type="dxa" w:w="2045"/>
            <w:vAlign w:val="center"/>
          </w:tcPr>
          <w:p>
            <w:r>
              <w:rPr>
                <w:sz w:val="16"/>
              </w:rPr>
              <w:t>10.00</w:t>
            </w:r>
          </w:p>
        </w:tc>
        <w:tc>
          <w:tcPr>
            <w:tcW w:type="dxa" w:w="2045"/>
            <w:vAlign w:val="center"/>
          </w:tcPr>
          <w:p>
            <w:r>
              <w:rPr>
                <w:sz w:val="16"/>
              </w:rPr>
              <w:t>2</w:t>
            </w:r>
          </w:p>
        </w:tc>
      </w:tr>
      <w:tr>
        <w:tc>
          <w:tcPr>
            <w:tcW w:type="dxa" w:w="2045"/>
            <w:vAlign w:val="center"/>
          </w:tcPr>
          <w:p>
            <w:r>
              <w:rPr>
                <w:sz w:val="16"/>
              </w:rPr>
              <w:t>ET6</w:t>
            </w:r>
          </w:p>
        </w:tc>
        <w:tc>
          <w:tcPr>
            <w:tcW w:type="dxa" w:w="2045"/>
            <w:vAlign w:val="center"/>
          </w:tcPr>
          <w:p>
            <w:r>
              <w:rPr>
                <w:sz w:val="16"/>
              </w:rPr>
              <w:t>3.617e+25</w:t>
            </w:r>
          </w:p>
        </w:tc>
        <w:tc>
          <w:tcPr>
            <w:tcW w:type="dxa" w:w="2045"/>
            <w:vAlign w:val="center"/>
          </w:tcPr>
          <w:p>
            <w:r>
              <w:rPr>
                <w:sz w:val="16"/>
              </w:rPr>
              <w:t>1.809e+26</w:t>
            </w:r>
          </w:p>
        </w:tc>
        <w:tc>
          <w:tcPr>
            <w:tcW w:type="dxa" w:w="2045"/>
            <w:vAlign w:val="center"/>
          </w:tcPr>
          <w:p>
            <w:r>
              <w:rPr>
                <w:sz w:val="16"/>
              </w:rPr>
              <w:t>10.00</w:t>
            </w:r>
          </w:p>
        </w:tc>
        <w:tc>
          <w:tcPr>
            <w:tcW w:type="dxa" w:w="2045"/>
            <w:vAlign w:val="center"/>
          </w:tcPr>
          <w:p>
            <w:r>
              <w:rPr>
                <w:sz w:val="16"/>
              </w:rPr>
              <w:t>2</w:t>
            </w:r>
          </w:p>
        </w:tc>
      </w:tr>
      <w:tr>
        <w:tc>
          <w:tcPr>
            <w:tcW w:type="dxa" w:w="2045"/>
            <w:vAlign w:val="center"/>
          </w:tcPr>
          <w:p>
            <w:r>
              <w:rPr>
                <w:sz w:val="16"/>
              </w:rPr>
              <w:t>E_Toggle</w:t>
            </w:r>
          </w:p>
        </w:tc>
        <w:tc>
          <w:tcPr>
            <w:tcW w:type="dxa" w:w="2045"/>
            <w:vAlign w:val="center"/>
          </w:tcPr>
          <w:p>
            <w:r>
              <w:rPr>
                <w:sz w:val="16"/>
              </w:rPr>
              <w:t>1.491e+08</w:t>
            </w:r>
          </w:p>
        </w:tc>
        <w:tc>
          <w:tcPr>
            <w:tcW w:type="dxa" w:w="2045"/>
            <w:vAlign w:val="center"/>
          </w:tcPr>
          <w:p>
            <w:r>
              <w:rPr>
                <w:sz w:val="16"/>
              </w:rPr>
              <w:t>7.456e+08</w:t>
            </w:r>
          </w:p>
        </w:tc>
        <w:tc>
          <w:tcPr>
            <w:tcW w:type="dxa" w:w="2045"/>
            <w:vAlign w:val="center"/>
          </w:tcPr>
          <w:p>
            <w:r>
              <w:rPr>
                <w:sz w:val="16"/>
              </w:rPr>
              <w:t>10.00</w:t>
            </w:r>
          </w:p>
        </w:tc>
        <w:tc>
          <w:tcPr>
            <w:tcW w:type="dxa" w:w="2045"/>
            <w:vAlign w:val="center"/>
          </w:tcPr>
          <w:p>
            <w:r>
              <w:rPr>
                <w:sz w:val="16"/>
              </w:rPr>
              <w:t>2</w:t>
            </w:r>
          </w:p>
        </w:tc>
      </w:tr>
      <w:tr>
        <w:tc>
          <w:tcPr>
            <w:tcW w:type="dxa" w:w="2045"/>
            <w:vAlign w:val="center"/>
          </w:tcPr>
          <w:p>
            <w:r>
              <w:rPr>
                <w:sz w:val="16"/>
              </w:rPr>
              <w:t>EVR</w:t>
            </w:r>
          </w:p>
        </w:tc>
        <w:tc>
          <w:tcPr>
            <w:tcW w:type="dxa" w:w="2045"/>
            <w:vAlign w:val="center"/>
          </w:tcPr>
          <w:p>
            <w:r>
              <w:rPr>
                <w:sz w:val="16"/>
              </w:rPr>
              <w:t>7.108e+17</w:t>
            </w:r>
          </w:p>
        </w:tc>
        <w:tc>
          <w:tcPr>
            <w:tcW w:type="dxa" w:w="2045"/>
            <w:vAlign w:val="center"/>
          </w:tcPr>
          <w:p>
            <w:r>
              <w:rPr>
                <w:sz w:val="16"/>
              </w:rPr>
              <w:t>3.554e+18</w:t>
            </w:r>
          </w:p>
        </w:tc>
        <w:tc>
          <w:tcPr>
            <w:tcW w:type="dxa" w:w="2045"/>
            <w:vAlign w:val="center"/>
          </w:tcPr>
          <w:p>
            <w:r>
              <w:rPr>
                <w:sz w:val="16"/>
              </w:rPr>
              <w:t>10.00</w:t>
            </w:r>
          </w:p>
        </w:tc>
        <w:tc>
          <w:tcPr>
            <w:tcW w:type="dxa" w:w="2045"/>
            <w:vAlign w:val="center"/>
          </w:tcPr>
          <w:p>
            <w:r>
              <w:rPr>
                <w:sz w:val="16"/>
              </w:rPr>
              <w:t>2</w:t>
            </w:r>
          </w:p>
        </w:tc>
      </w:tr>
    </w:tbl>
    <w:p>
      <w:pPr>
        <w:sectPr>
          <w:pgSz w:w="12240" w:h="15840"/>
          <w:pgMar w:top="936" w:right="1008" w:bottom="936" w:left="1008" w:header="720" w:footer="720" w:gutter="0"/>
          <w:cols w:space="720"/>
          <w:docGrid w:linePitch="360"/>
        </w:sectPr>
      </w:pPr>
    </w:p>
    <w:p>
      <w:pPr>
        <w:pStyle w:val="Heading1"/>
      </w:pPr>
      <w:r>
        <w:t>5. Sensitivity Analysis</w:t>
      </w:r>
    </w:p>
    <w:p>
      <w:pPr>
        <w:jc w:val="center"/>
      </w:pPr>
      <w:r>
        <w:drawing>
          <wp:inline xmlns:a="http://schemas.openxmlformats.org/drawingml/2006/main" xmlns:pic="http://schemas.openxmlformats.org/drawingml/2006/picture">
            <wp:extent cx="6309360" cy="3830683"/>
            <wp:docPr id="4" name="Picture 4"/>
            <wp:cNvGraphicFramePr>
              <a:graphicFrameLocks noChangeAspect="1"/>
            </wp:cNvGraphicFramePr>
            <a:graphic>
              <a:graphicData uri="http://schemas.openxmlformats.org/drawingml/2006/picture">
                <pic:pic>
                  <pic:nvPicPr>
                    <pic:cNvPr id="0" name="sysid_amplitude_sensitivity.png"/>
                    <pic:cNvPicPr/>
                  </pic:nvPicPr>
                  <pic:blipFill>
                    <a:blip r:embed="rId12"/>
                    <a:stretch>
                      <a:fillRect/>
                    </a:stretch>
                  </pic:blipFill>
                  <pic:spPr>
                    <a:xfrm>
                      <a:off x="0" y="0"/>
                      <a:ext cx="6309360" cy="3830683"/>
                    </a:xfrm>
                    <a:prstGeom prst="rect"/>
                  </pic:spPr>
                </pic:pic>
              </a:graphicData>
            </a:graphic>
          </wp:inline>
        </w:drawing>
      </w:r>
    </w:p>
    <w:p>
      <w:pPr>
        <w:jc w:val="center"/>
      </w:pPr>
      <w:r>
        <w:rPr>
          <w:i/>
          <w:sz w:val="17"/>
        </w:rPr>
        <w:t>Figure 4. Amplitude sensitivity for P01 with E_Toggle.</w:t>
      </w:r>
    </w:p>
    <w:p>
      <w:pPr>
        <w:jc w:val="center"/>
      </w:pPr>
      <w:r>
        <w:drawing>
          <wp:inline xmlns:a="http://schemas.openxmlformats.org/drawingml/2006/main" xmlns:pic="http://schemas.openxmlformats.org/drawingml/2006/picture">
            <wp:extent cx="6309360" cy="3830683"/>
            <wp:docPr id="5" name="Picture 5"/>
            <wp:cNvGraphicFramePr>
              <a:graphicFrameLocks noChangeAspect="1"/>
            </wp:cNvGraphicFramePr>
            <a:graphic>
              <a:graphicData uri="http://schemas.openxmlformats.org/drawingml/2006/picture">
                <pic:pic>
                  <pic:nvPicPr>
                    <pic:cNvPr id="0" name="sysid_tension_noise_sensitivity.png"/>
                    <pic:cNvPicPr/>
                  </pic:nvPicPr>
                  <pic:blipFill>
                    <a:blip r:embed="rId13"/>
                    <a:stretch>
                      <a:fillRect/>
                    </a:stretch>
                  </pic:blipFill>
                  <pic:spPr>
                    <a:xfrm>
                      <a:off x="0" y="0"/>
                      <a:ext cx="6309360" cy="3830683"/>
                    </a:xfrm>
                    <a:prstGeom prst="rect"/>
                  </pic:spPr>
                </pic:pic>
              </a:graphicData>
            </a:graphic>
          </wp:inline>
        </w:drawing>
      </w:r>
    </w:p>
    <w:p>
      <w:pPr>
        <w:jc w:val="center"/>
      </w:pPr>
      <w:r>
        <w:rPr>
          <w:i/>
          <w:sz w:val="17"/>
        </w:rPr>
        <w:t>Figure 5. Tension-noise sensitivity for P01 with E_Toggle.</w:t>
      </w:r>
    </w:p>
    <w:p>
      <w:pPr>
        <w:jc w:val="center"/>
      </w:pPr>
      <w:r>
        <w:drawing>
          <wp:inline xmlns:a="http://schemas.openxmlformats.org/drawingml/2006/main" xmlns:pic="http://schemas.openxmlformats.org/drawingml/2006/picture">
            <wp:extent cx="6309360" cy="3830683"/>
            <wp:docPr id="6" name="Picture 6"/>
            <wp:cNvGraphicFramePr>
              <a:graphicFrameLocks noChangeAspect="1"/>
            </wp:cNvGraphicFramePr>
            <a:graphic>
              <a:graphicData uri="http://schemas.openxmlformats.org/drawingml/2006/picture">
                <pic:pic>
                  <pic:nvPicPr>
                    <pic:cNvPr id="0" name="sysid_omega_noise_sensitivity.png"/>
                    <pic:cNvPicPr/>
                  </pic:nvPicPr>
                  <pic:blipFill>
                    <a:blip r:embed="rId14"/>
                    <a:stretch>
                      <a:fillRect/>
                    </a:stretch>
                  </pic:blipFill>
                  <pic:spPr>
                    <a:xfrm>
                      <a:off x="0" y="0"/>
                      <a:ext cx="6309360" cy="3830683"/>
                    </a:xfrm>
                    <a:prstGeom prst="rect"/>
                  </pic:spPr>
                </pic:pic>
              </a:graphicData>
            </a:graphic>
          </wp:inline>
        </w:drawing>
      </w:r>
    </w:p>
    <w:p>
      <w:pPr>
        <w:jc w:val="center"/>
      </w:pPr>
      <w:r>
        <w:rPr>
          <w:i/>
          <w:sz w:val="17"/>
        </w:rPr>
        <w:t>Figure 6. Roller-speed-noise sensitivity for P01 with E_Toggle.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E8F1FF"/>
            <w:vAlign w:val="center"/>
          </w:tcPr>
          <w:p>
            <w:r>
              <w:rPr>
                <w:b/>
                <w:sz w:val="17"/>
              </w:rPr>
              <w:t>Factor</w:t>
            </w:r>
          </w:p>
        </w:tc>
        <w:tc>
          <w:tcPr>
            <w:tcW w:type="dxa" w:w="1704"/>
            <w:shd w:fill="E8F1FF"/>
            <w:vAlign w:val="center"/>
          </w:tcPr>
          <w:p>
            <w:r>
              <w:rPr>
                <w:b/>
                <w:sz w:val="17"/>
              </w:rPr>
              <w:t>Best setting</w:t>
            </w:r>
          </w:p>
        </w:tc>
        <w:tc>
          <w:tcPr>
            <w:tcW w:type="dxa" w:w="1704"/>
            <w:shd w:fill="E8F1FF"/>
            <w:vAlign w:val="center"/>
          </w:tcPr>
          <w:p>
            <w:r>
              <w:rPr>
                <w:b/>
                <w:sz w:val="17"/>
              </w:rPr>
              <w:t>Best RMSE</w:t>
            </w:r>
          </w:p>
        </w:tc>
        <w:tc>
          <w:tcPr>
            <w:tcW w:type="dxa" w:w="1704"/>
            <w:shd w:fill="E8F1FF"/>
            <w:vAlign w:val="center"/>
          </w:tcPr>
          <w:p>
            <w:r>
              <w:rPr>
                <w:b/>
                <w:sz w:val="17"/>
              </w:rPr>
              <w:t>Worst setting</w:t>
            </w:r>
          </w:p>
        </w:tc>
        <w:tc>
          <w:tcPr>
            <w:tcW w:type="dxa" w:w="1704"/>
            <w:shd w:fill="E8F1FF"/>
            <w:vAlign w:val="center"/>
          </w:tcPr>
          <w:p>
            <w:r>
              <w:rPr>
                <w:b/>
                <w:sz w:val="17"/>
              </w:rPr>
              <w:t>Worst RMSE</w:t>
            </w:r>
          </w:p>
        </w:tc>
        <w:tc>
          <w:tcPr>
            <w:tcW w:type="dxa" w:w="1704"/>
            <w:shd w:fill="E8F1FF"/>
            <w:vAlign w:val="center"/>
          </w:tcPr>
          <w:p>
            <w:r>
              <w:rPr>
                <w:b/>
                <w:sz w:val="17"/>
              </w:rPr>
              <w:t>Interpretation</w:t>
            </w:r>
          </w:p>
        </w:tc>
      </w:tr>
      <w:tr>
        <w:tc>
          <w:tcPr>
            <w:tcW w:type="dxa" w:w="1704"/>
            <w:vAlign w:val="center"/>
          </w:tcPr>
          <w:p>
            <w:r>
              <w:rPr>
                <w:sz w:val="16"/>
              </w:rPr>
              <w:t>Excitation amplitude</w:t>
            </w:r>
          </w:p>
        </w:tc>
        <w:tc>
          <w:tcPr>
            <w:tcW w:type="dxa" w:w="1704"/>
            <w:vAlign w:val="center"/>
          </w:tcPr>
          <w:p>
            <w:r>
              <w:rPr>
                <w:sz w:val="16"/>
              </w:rPr>
              <w:t>0.12</w:t>
            </w:r>
          </w:p>
        </w:tc>
        <w:tc>
          <w:tcPr>
            <w:tcW w:type="dxa" w:w="1704"/>
            <w:vAlign w:val="center"/>
          </w:tcPr>
          <w:p>
            <w:r>
              <w:rPr>
                <w:sz w:val="16"/>
              </w:rPr>
              <w:t>0.003439</w:t>
            </w:r>
          </w:p>
        </w:tc>
        <w:tc>
          <w:tcPr>
            <w:tcW w:type="dxa" w:w="1704"/>
            <w:vAlign w:val="center"/>
          </w:tcPr>
          <w:p>
            <w:r>
              <w:rPr>
                <w:sz w:val="16"/>
              </w:rPr>
              <w:t>0</w:t>
            </w:r>
          </w:p>
        </w:tc>
        <w:tc>
          <w:tcPr>
            <w:tcW w:type="dxa" w:w="1704"/>
            <w:vAlign w:val="center"/>
          </w:tcPr>
          <w:p>
            <w:r>
              <w:rPr>
                <w:sz w:val="16"/>
              </w:rPr>
              <w:t>0.8822</w:t>
            </w:r>
          </w:p>
        </w:tc>
        <w:tc>
          <w:tcPr>
            <w:tcW w:type="dxa" w:w="1704"/>
            <w:vAlign w:val="center"/>
          </w:tcPr>
          <w:p>
            <w:r>
              <w:rPr>
                <w:sz w:val="16"/>
              </w:rPr>
              <w:t>Too little amplitude gives poor excitation; moderate amplitude improves the regression signal.</w:t>
            </w:r>
          </w:p>
        </w:tc>
      </w:tr>
      <w:tr>
        <w:tc>
          <w:tcPr>
            <w:tcW w:type="dxa" w:w="1704"/>
            <w:vAlign w:val="center"/>
          </w:tcPr>
          <w:p>
            <w:r>
              <w:rPr>
                <w:sz w:val="16"/>
              </w:rPr>
              <w:t>Tension noise</w:t>
            </w:r>
          </w:p>
        </w:tc>
        <w:tc>
          <w:tcPr>
            <w:tcW w:type="dxa" w:w="1704"/>
            <w:vAlign w:val="center"/>
          </w:tcPr>
          <w:p>
            <w:r>
              <w:rPr>
                <w:sz w:val="16"/>
              </w:rPr>
              <w:t>0</w:t>
            </w:r>
          </w:p>
        </w:tc>
        <w:tc>
          <w:tcPr>
            <w:tcW w:type="dxa" w:w="1704"/>
            <w:vAlign w:val="center"/>
          </w:tcPr>
          <w:p>
            <w:r>
              <w:rPr>
                <w:sz w:val="16"/>
              </w:rPr>
              <w:t>0.003443</w:t>
            </w:r>
          </w:p>
        </w:tc>
        <w:tc>
          <w:tcPr>
            <w:tcW w:type="dxa" w:w="1704"/>
            <w:vAlign w:val="center"/>
          </w:tcPr>
          <w:p>
            <w:r>
              <w:rPr>
                <w:sz w:val="16"/>
              </w:rPr>
              <w:t>0.1</w:t>
            </w:r>
          </w:p>
        </w:tc>
        <w:tc>
          <w:tcPr>
            <w:tcW w:type="dxa" w:w="1704"/>
            <w:vAlign w:val="center"/>
          </w:tcPr>
          <w:p>
            <w:r>
              <w:rPr>
                <w:sz w:val="16"/>
              </w:rPr>
              <w:t>0.0254</w:t>
            </w:r>
          </w:p>
        </w:tc>
        <w:tc>
          <w:tcPr>
            <w:tcW w:type="dxa" w:w="1704"/>
            <w:vAlign w:val="center"/>
          </w:tcPr>
          <w:p>
            <w:r>
              <w:rPr>
                <w:sz w:val="16"/>
              </w:rPr>
              <w:t>Tension noise corrupts finite-difference tension dynamics and EA estimation.</w:t>
            </w:r>
          </w:p>
        </w:tc>
      </w:tr>
      <w:tr>
        <w:tc>
          <w:tcPr>
            <w:tcW w:type="dxa" w:w="1704"/>
            <w:vAlign w:val="center"/>
          </w:tcPr>
          <w:p>
            <w:r>
              <w:rPr>
                <w:sz w:val="16"/>
              </w:rPr>
              <w:t>Omega noise</w:t>
            </w:r>
          </w:p>
        </w:tc>
        <w:tc>
          <w:tcPr>
            <w:tcW w:type="dxa" w:w="1704"/>
            <w:vAlign w:val="center"/>
          </w:tcPr>
          <w:p>
            <w:r>
              <w:rPr>
                <w:sz w:val="16"/>
              </w:rPr>
              <w:t>0</w:t>
            </w:r>
          </w:p>
        </w:tc>
        <w:tc>
          <w:tcPr>
            <w:tcW w:type="dxa" w:w="1704"/>
            <w:vAlign w:val="center"/>
          </w:tcPr>
          <w:p>
            <w:r>
              <w:rPr>
                <w:sz w:val="16"/>
              </w:rPr>
              <w:t>0.003443</w:t>
            </w:r>
          </w:p>
        </w:tc>
        <w:tc>
          <w:tcPr>
            <w:tcW w:type="dxa" w:w="1704"/>
            <w:vAlign w:val="center"/>
          </w:tcPr>
          <w:p>
            <w:r>
              <w:rPr>
                <w:sz w:val="16"/>
              </w:rPr>
              <w:t>0.01</w:t>
            </w:r>
          </w:p>
        </w:tc>
        <w:tc>
          <w:tcPr>
            <w:tcW w:type="dxa" w:w="1704"/>
            <w:vAlign w:val="center"/>
          </w:tcPr>
          <w:p>
            <w:r>
              <w:rPr>
                <w:sz w:val="16"/>
              </w:rPr>
              <w:t>0.1597</w:t>
            </w:r>
          </w:p>
        </w:tc>
        <w:tc>
          <w:tcPr>
            <w:tcW w:type="dxa" w:w="1704"/>
            <w:vAlign w:val="center"/>
          </w:tcPr>
          <w:p>
            <w:r>
              <w:rPr>
                <w:sz w:val="16"/>
              </w:rPr>
              <w:t>Omega noise corrupts velocity derivatives and the kt/kf regression.</w:t>
            </w:r>
          </w:p>
        </w:tc>
      </w:tr>
    </w:tbl>
    <w:p>
      <w:pPr>
        <w:pStyle w:val="Heading1"/>
      </w:pPr>
      <w:r>
        <w:t>6. Conclusion and Stored Artifacts</w:t>
      </w:r>
    </w:p>
    <w:p>
      <w:r>
        <w:t>The best dynamic baseline-compatible case was P01 with ET1 at RMSE_theta=8.265e-04.</w:t>
      </w:r>
    </w:p>
    <w:p>
      <w:r>
        <w:t>P01 and P02 are the only plants inside the extracted Table S4 baseline EA range, so they receive nonzero recommended excitation in the current dashboard model. P03-P10 are high-EA cases and are reported as zero-input safety-policy cases unless exact per-roller arrays and retuned excitation limits are supplied.</w:t>
      </w:r>
    </w:p>
    <w:p>
      <w:r>
        <w:t>The sensitivity plots show the practical SysID tradeoff: usable excitation amplitude improves identifiability, while tension noise and omega noise degrade estimates through the finite-difference equations.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F1FF"/>
            <w:vAlign w:val="center"/>
          </w:tcPr>
          <w:p>
            <w:r>
              <w:rPr>
                <w:b/>
                <w:sz w:val="17"/>
              </w:rPr>
              <w:t>Type</w:t>
            </w:r>
          </w:p>
        </w:tc>
        <w:tc>
          <w:tcPr>
            <w:tcW w:type="dxa" w:w="3408"/>
            <w:shd w:fill="E8F1FF"/>
            <w:vAlign w:val="center"/>
          </w:tcPr>
          <w:p>
            <w:r>
              <w:rPr>
                <w:b/>
                <w:sz w:val="17"/>
              </w:rPr>
              <w:t>Description</w:t>
            </w:r>
          </w:p>
        </w:tc>
        <w:tc>
          <w:tcPr>
            <w:tcW w:type="dxa" w:w="3408"/>
            <w:shd w:fill="E8F1FF"/>
            <w:vAlign w:val="center"/>
          </w:tcPr>
          <w:p>
            <w:r>
              <w:rPr>
                <w:b/>
                <w:sz w:val="17"/>
              </w:rPr>
              <w:t>File</w:t>
            </w:r>
          </w:p>
        </w:tc>
      </w:tr>
      <w:tr>
        <w:tc>
          <w:tcPr>
            <w:tcW w:type="dxa" w:w="3408"/>
            <w:vAlign w:val="center"/>
          </w:tcPr>
          <w:p>
            <w:r>
              <w:rPr>
                <w:sz w:val="16"/>
              </w:rPr>
              <w:t>CSV</w:t>
            </w:r>
          </w:p>
        </w:tc>
        <w:tc>
          <w:tcPr>
            <w:tcW w:type="dxa" w:w="3408"/>
            <w:vAlign w:val="center"/>
          </w:tcPr>
          <w:p>
            <w:r>
              <w:rPr>
                <w:sz w:val="16"/>
              </w:rPr>
              <w:t>Plant x excitation matrix</w:t>
            </w:r>
          </w:p>
        </w:tc>
        <w:tc>
          <w:tcPr>
            <w:tcW w:type="dxa" w:w="3408"/>
            <w:vAlign w:val="center"/>
          </w:tcPr>
          <w:p>
            <w:r>
              <w:rPr>
                <w:sz w:val="16"/>
              </w:rPr>
              <w:t>sysid_plant_excitation_sweep.csv</w:t>
            </w:r>
          </w:p>
        </w:tc>
      </w:tr>
      <w:tr>
        <w:tc>
          <w:tcPr>
            <w:tcW w:type="dxa" w:w="3408"/>
            <w:vAlign w:val="center"/>
          </w:tcPr>
          <w:p>
            <w:r>
              <w:rPr>
                <w:sz w:val="16"/>
              </w:rPr>
              <w:t>CSV</w:t>
            </w:r>
          </w:p>
        </w:tc>
        <w:tc>
          <w:tcPr>
            <w:tcW w:type="dxa" w:w="3408"/>
            <w:vAlign w:val="center"/>
          </w:tcPr>
          <w:p>
            <w:r>
              <w:rPr>
                <w:sz w:val="16"/>
              </w:rPr>
              <w:t>Amplitude sensitivity</w:t>
            </w:r>
          </w:p>
        </w:tc>
        <w:tc>
          <w:tcPr>
            <w:tcW w:type="dxa" w:w="3408"/>
            <w:vAlign w:val="center"/>
          </w:tcPr>
          <w:p>
            <w:r>
              <w:rPr>
                <w:sz w:val="16"/>
              </w:rPr>
              <w:t>sysid_amplitude_sensitivity.csv</w:t>
            </w:r>
          </w:p>
        </w:tc>
      </w:tr>
      <w:tr>
        <w:tc>
          <w:tcPr>
            <w:tcW w:type="dxa" w:w="3408"/>
            <w:vAlign w:val="center"/>
          </w:tcPr>
          <w:p>
            <w:r>
              <w:rPr>
                <w:sz w:val="16"/>
              </w:rPr>
              <w:t>CSV</w:t>
            </w:r>
          </w:p>
        </w:tc>
        <w:tc>
          <w:tcPr>
            <w:tcW w:type="dxa" w:w="3408"/>
            <w:vAlign w:val="center"/>
          </w:tcPr>
          <w:p>
            <w:r>
              <w:rPr>
                <w:sz w:val="16"/>
              </w:rPr>
              <w:t>Tension-noise sensitivity</w:t>
            </w:r>
          </w:p>
        </w:tc>
        <w:tc>
          <w:tcPr>
            <w:tcW w:type="dxa" w:w="3408"/>
            <w:vAlign w:val="center"/>
          </w:tcPr>
          <w:p>
            <w:r>
              <w:rPr>
                <w:sz w:val="16"/>
              </w:rPr>
              <w:t>sysid_tension_noise_sensitivity.csv</w:t>
            </w:r>
          </w:p>
        </w:tc>
      </w:tr>
      <w:tr>
        <w:tc>
          <w:tcPr>
            <w:tcW w:type="dxa" w:w="3408"/>
            <w:vAlign w:val="center"/>
          </w:tcPr>
          <w:p>
            <w:r>
              <w:rPr>
                <w:sz w:val="16"/>
              </w:rPr>
              <w:t>CSV</w:t>
            </w:r>
          </w:p>
        </w:tc>
        <w:tc>
          <w:tcPr>
            <w:tcW w:type="dxa" w:w="3408"/>
            <w:vAlign w:val="center"/>
          </w:tcPr>
          <w:p>
            <w:r>
              <w:rPr>
                <w:sz w:val="16"/>
              </w:rPr>
              <w:t>Omega-noise sensitivity</w:t>
            </w:r>
          </w:p>
        </w:tc>
        <w:tc>
          <w:tcPr>
            <w:tcW w:type="dxa" w:w="3408"/>
            <w:vAlign w:val="center"/>
          </w:tcPr>
          <w:p>
            <w:r>
              <w:rPr>
                <w:sz w:val="16"/>
              </w:rPr>
              <w:t>sysid_omega_noise_sensitivity.csv</w:t>
            </w:r>
          </w:p>
        </w:tc>
      </w:tr>
      <w:tr>
        <w:tc>
          <w:tcPr>
            <w:tcW w:type="dxa" w:w="3408"/>
            <w:vAlign w:val="center"/>
          </w:tcPr>
          <w:p>
            <w:r>
              <w:rPr>
                <w:sz w:val="16"/>
              </w:rPr>
              <w:t>CSV</w:t>
            </w:r>
          </w:p>
        </w:tc>
        <w:tc>
          <w:tcPr>
            <w:tcW w:type="dxa" w:w="3408"/>
            <w:vAlign w:val="center"/>
          </w:tcPr>
          <w:p>
            <w:r>
              <w:rPr>
                <w:sz w:val="16"/>
              </w:rPr>
              <w:t>All report cases combined</w:t>
            </w:r>
          </w:p>
        </w:tc>
        <w:tc>
          <w:tcPr>
            <w:tcW w:type="dxa" w:w="3408"/>
            <w:vAlign w:val="center"/>
          </w:tcPr>
          <w:p>
            <w:r>
              <w:rPr>
                <w:sz w:val="16"/>
              </w:rPr>
              <w:t>sysid_report_all_cases.csv</w:t>
            </w:r>
          </w:p>
        </w:tc>
      </w:tr>
      <w:tr>
        <w:tc>
          <w:tcPr>
            <w:tcW w:type="dxa" w:w="3408"/>
            <w:vAlign w:val="center"/>
          </w:tcPr>
          <w:p>
            <w:r>
              <w:rPr>
                <w:sz w:val="16"/>
              </w:rPr>
              <w:t>PNG</w:t>
            </w:r>
          </w:p>
        </w:tc>
        <w:tc>
          <w:tcPr>
            <w:tcW w:type="dxa" w:w="3408"/>
            <w:vAlign w:val="center"/>
          </w:tcPr>
          <w:p>
            <w:r>
              <w:rPr>
                <w:sz w:val="16"/>
              </w:rPr>
              <w:t>Heatmap, bars, and sensitivity line charts</w:t>
            </w:r>
          </w:p>
        </w:tc>
        <w:tc>
          <w:tcPr>
            <w:tcW w:type="dxa" w:w="3408"/>
            <w:vAlign w:val="center"/>
          </w:tcPr>
          <w:p>
            <w:r>
              <w:rPr>
                <w:sz w:val="16"/>
              </w:rPr>
              <w:t>reports/figures/sysid_*.png</w:t>
            </w:r>
          </w:p>
        </w:tc>
      </w:tr>
      <w:tr>
        <w:tc>
          <w:tcPr>
            <w:tcW w:type="dxa" w:w="3408"/>
            <w:vAlign w:val="center"/>
          </w:tcPr>
          <w:p>
            <w:r>
              <w:rPr>
                <w:sz w:val="16"/>
              </w:rPr>
              <w:t>JSON</w:t>
            </w:r>
          </w:p>
        </w:tc>
        <w:tc>
          <w:tcPr>
            <w:tcW w:type="dxa" w:w="3408"/>
            <w:vAlign w:val="center"/>
          </w:tcPr>
          <w:p>
            <w:r>
              <w:rPr>
                <w:sz w:val="16"/>
              </w:rPr>
              <w:t>Machine-readable report summary</w:t>
            </w:r>
          </w:p>
        </w:tc>
        <w:tc>
          <w:tcPr>
            <w:tcW w:type="dxa" w:w="3408"/>
            <w:vAlign w:val="center"/>
          </w:tcPr>
          <w:p>
            <w:r>
              <w:rPr>
                <w:sz w:val="16"/>
              </w:rPr>
              <w:t>sysid_plant_excitation_report.json</w:t>
            </w:r>
          </w:p>
        </w:tc>
      </w:tr>
      <w:tr>
        <w:tc>
          <w:tcPr>
            <w:tcW w:type="dxa" w:w="3408"/>
            <w:vAlign w:val="center"/>
          </w:tcPr>
          <w:p>
            <w:r>
              <w:rPr>
                <w:sz w:val="16"/>
              </w:rPr>
              <w:t>DOCX</w:t>
            </w:r>
          </w:p>
        </w:tc>
        <w:tc>
          <w:tcPr>
            <w:tcW w:type="dxa" w:w="3408"/>
            <w:vAlign w:val="center"/>
          </w:tcPr>
          <w:p>
            <w:r>
              <w:rPr>
                <w:sz w:val="16"/>
              </w:rPr>
              <w:t>Word report</w:t>
            </w:r>
          </w:p>
        </w:tc>
        <w:tc>
          <w:tcPr>
            <w:tcW w:type="dxa" w:w="3408"/>
            <w:vAlign w:val="center"/>
          </w:tcPr>
          <w:p>
            <w:r>
              <w:rPr>
                <w:sz w:val="16"/>
              </w:rPr>
              <w:t>sysid_plant_excitation_report.docx</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970D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