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CECODES Carbon Footprint Tool Weekly Delivery Plan</w:t>
      </w:r>
    </w:p>
    <w:p>
      <w:pPr>
        <w:jc w:val="center"/>
      </w:pPr>
      <w:r>
        <w:rPr>
          <w:b/>
        </w:rPr>
        <w:t xml:space="preserve">Companion to: </w:t>
      </w:r>
      <w:r>
        <w:t>CECODES Carbon Footprint Tool - Requirements.md (v1.1)</w:t>
        <w:br/>
      </w:r>
      <w:r>
        <w:rPr>
          <w:b/>
        </w:rPr>
        <w:t xml:space="preserve">Purpose: </w:t>
      </w:r>
      <w:r>
        <w:t>A week-by-week plan so CECODES and the development team can track progress and give feedback every week.</w:t>
        <w:br/>
      </w:r>
      <w:r>
        <w:rPr>
          <w:b/>
        </w:rPr>
        <w:t xml:space="preserve">Version: </w:t>
      </w:r>
      <w:r>
        <w:t xml:space="preserve">1.0 (Draft)    </w:t>
      </w:r>
      <w:r>
        <w:rPr>
          <w:b/>
        </w:rPr>
        <w:t xml:space="preserve">Date: </w:t>
      </w:r>
      <w:r>
        <w:t>2026-07-09</w:t>
      </w:r>
    </w:p>
    <w:p>
      <w:pPr>
        <w:pStyle w:val="Heading1"/>
      </w:pPr>
      <w:r>
        <w:t>How to Read This Plan</w:t>
      </w:r>
    </w:p>
    <w:p>
      <w:pPr>
        <w:pStyle w:val="ListBullet"/>
      </w:pPr>
      <w:r>
        <w:t>This plan is organized into phases. Every week ends with a visible deliverable for review during the weekly check-in.</w:t>
      </w:r>
    </w:p>
    <w:p>
      <w:pPr>
        <w:pStyle w:val="ListBullet"/>
      </w:pPr>
      <w:r>
        <w:t>It covers the full agreed scope: Excel parity, multi-company accounts, calculator, dashboard, admin factor library, and reports.</w:t>
      </w:r>
    </w:p>
    <w:p>
      <w:pPr>
        <w:pStyle w:val="ListBullet"/>
      </w:pPr>
      <w:r>
        <w:t>It does not prescribe implementation technologies.</w:t>
      </w:r>
    </w:p>
    <w:p>
      <w:pPr>
        <w:pStyle w:val="ListBullet"/>
      </w:pPr>
      <w:r>
        <w:t>The tool is built in Spanish (es-CO) from the first screen.</w:t>
      </w:r>
    </w:p>
    <w:p>
      <w:pPr>
        <w:pStyle w:val="ListBullet"/>
      </w:pPr>
      <w:r>
        <w:t>Timeline assumes a small team (1–2 developers). Larger teams can overlap phases while preserving order.</w:t>
      </w:r>
    </w:p>
    <w:p>
      <w:r>
        <w:t>Two things from CECODES keep the plan on schedule:</w:t>
      </w:r>
    </w:p>
    <w:p>
      <w:pPr>
        <w:pStyle w:val="ListNumber"/>
      </w:pPr>
      <w:r>
        <w:t>Answers to Section 12 of the requirements (open decisions).</w:t>
      </w:r>
    </w:p>
    <w:p>
      <w:pPr>
        <w:pStyle w:val="ListNumber"/>
      </w:pPr>
      <w:r>
        <w:t>Confirmed, corrected emission-factor dataset.</w:t>
      </w:r>
    </w:p>
    <w:p>
      <w:pPr>
        <w:pStyle w:val="Heading1"/>
      </w:pPr>
      <w:r>
        <w:t>Project Timeline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Phase</w:t>
            </w:r>
          </w:p>
        </w:tc>
        <w:tc>
          <w:tcPr>
            <w:tcW w:type="dxa" w:w="2484"/>
          </w:tcPr>
          <w:p>
            <w:r>
              <w:t>Weeks</w:t>
            </w:r>
          </w:p>
        </w:tc>
        <w:tc>
          <w:tcPr>
            <w:tcW w:type="dxa" w:w="2484"/>
          </w:tcPr>
          <w:p>
            <w:r>
              <w:t>Focus</w:t>
            </w:r>
          </w:p>
        </w:tc>
        <w:tc>
          <w:tcPr>
            <w:tcW w:type="dxa" w:w="2484"/>
          </w:tcPr>
          <w:p>
            <w:r>
              <w:t>Weekly Deliverable</w:t>
            </w:r>
          </w:p>
        </w:tc>
      </w:tr>
      <w:tr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Sign-off &amp; foundations</w:t>
            </w:r>
          </w:p>
        </w:tc>
        <w:tc>
          <w:tcPr>
            <w:tcW w:type="dxa" w:w="2484"/>
          </w:tcPr>
          <w:p>
            <w:r>
              <w:t>Agreed spec, factor list, project skeleton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2–3</w:t>
            </w:r>
          </w:p>
        </w:tc>
        <w:tc>
          <w:tcPr>
            <w:tcW w:type="dxa" w:w="2484"/>
          </w:tcPr>
          <w:p>
            <w:r>
              <w:t>Accounts &amp; company setup</w:t>
            </w:r>
          </w:p>
        </w:tc>
        <w:tc>
          <w:tcPr>
            <w:tcW w:type="dxa" w:w="2484"/>
          </w:tcPr>
          <w:p>
            <w:r>
              <w:t>Register, log in, create company/facility/year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3–4</w:t>
            </w:r>
          </w:p>
        </w:tc>
        <w:tc>
          <w:tcPr>
            <w:tcW w:type="dxa" w:w="2484"/>
          </w:tcPr>
          <w:p>
            <w:r>
              <w:t>Emission-factor library</w:t>
            </w:r>
          </w:p>
        </w:tc>
        <w:tc>
          <w:tcPr>
            <w:tcW w:type="dxa" w:w="2484"/>
          </w:tcPr>
          <w:p>
            <w:r>
              <w:t>Admin manages factor library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4–6</w:t>
            </w:r>
          </w:p>
        </w:tc>
        <w:tc>
          <w:tcPr>
            <w:tcW w:type="dxa" w:w="2484"/>
          </w:tcPr>
          <w:p>
            <w:r>
              <w:t>Data-entry forms</w:t>
            </w:r>
          </w:p>
        </w:tc>
        <w:tc>
          <w:tcPr>
            <w:tcW w:type="dxa" w:w="2484"/>
          </w:tcPr>
          <w:p>
            <w:r>
              <w:t>Complete annual data entry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6–8</w:t>
            </w:r>
          </w:p>
        </w:tc>
        <w:tc>
          <w:tcPr>
            <w:tcW w:type="dxa" w:w="2484"/>
          </w:tcPr>
          <w:p>
            <w:r>
              <w:t>Calculation engine</w:t>
            </w:r>
          </w:p>
        </w:tc>
        <w:tc>
          <w:tcPr>
            <w:tcW w:type="dxa" w:w="2484"/>
          </w:tcPr>
          <w:p>
            <w:r>
              <w:t>Excel parity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8–10</w:t>
            </w:r>
          </w:p>
        </w:tc>
        <w:tc>
          <w:tcPr>
            <w:tcW w:type="dxa" w:w="2484"/>
          </w:tcPr>
          <w:p>
            <w:r>
              <w:t>Dashboard</w:t>
            </w:r>
          </w:p>
        </w:tc>
        <w:tc>
          <w:tcPr>
            <w:tcW w:type="dxa" w:w="2484"/>
          </w:tcPr>
          <w:p>
            <w:r>
              <w:t>Interactive visualizations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10–11</w:t>
            </w:r>
          </w:p>
        </w:tc>
        <w:tc>
          <w:tcPr>
            <w:tcW w:type="dxa" w:w="2484"/>
          </w:tcPr>
          <w:p>
            <w:r>
              <w:t>Reports</w:t>
            </w:r>
          </w:p>
        </w:tc>
        <w:tc>
          <w:tcPr>
            <w:tcW w:type="dxa" w:w="2484"/>
          </w:tcPr>
          <w:p>
            <w:r>
              <w:t>PDF + Excel/CSV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11–12</w:t>
            </w:r>
          </w:p>
        </w:tc>
        <w:tc>
          <w:tcPr>
            <w:tcW w:type="dxa" w:w="2484"/>
          </w:tcPr>
          <w:p>
            <w:r>
              <w:t>Hardening &amp; launch</w:t>
            </w:r>
          </w:p>
        </w:tc>
        <w:tc>
          <w:tcPr>
            <w:tcW w:type="dxa" w:w="2484"/>
          </w:tcPr>
          <w:p>
            <w:r>
              <w:t>UAT and go-live</w:t>
            </w:r>
          </w:p>
        </w:tc>
      </w:tr>
    </w:tbl>
    <w:p>
      <w:pPr>
        <w:pStyle w:val="Heading2"/>
      </w:pPr>
      <w:r>
        <w:t>Phase 0 – Sign-off &amp; Foundations (Week 1)</w:t>
      </w:r>
    </w:p>
    <w:p>
      <w:pPr>
        <w:pStyle w:val="ListBullet"/>
      </w:pPr>
      <w:r>
        <w:t>Collect Section 12 decisions and confirmed factor dataset.</w:t>
      </w:r>
    </w:p>
    <w:p>
      <w:pPr>
        <w:pStyle w:val="ListBullet"/>
      </w:pPr>
      <w:r>
        <w:t>Agree sample companies for parity testing.</w:t>
      </w:r>
    </w:p>
    <w:p>
      <w:pPr>
        <w:pStyle w:val="ListBullet"/>
      </w:pPr>
      <w:r>
        <w:t>Set up project skeleton and factor library structure.</w:t>
      </w:r>
    </w:p>
    <w:p>
      <w:r>
        <w:rPr>
          <w:b/>
        </w:rPr>
        <w:t xml:space="preserve">Weekly Check-in Deliverable: </w:t>
      </w:r>
      <w:r>
        <w:t>Signed-off specification, confirmed factor list, running project shell.</w:t>
      </w:r>
    </w:p>
    <w:p>
      <w:pPr>
        <w:pStyle w:val="Heading2"/>
      </w:pPr>
      <w:r>
        <w:t>Phase 1 – Accounts &amp; Company Setup (Weeks 2–3)</w:t>
      </w:r>
    </w:p>
    <w:p>
      <w:pPr>
        <w:pStyle w:val="ListBullet"/>
      </w:pPr>
      <w:r>
        <w:t>Registration, login, password reset.</w:t>
      </w:r>
    </w:p>
    <w:p>
      <w:pPr>
        <w:pStyle w:val="ListBullet"/>
      </w:pPr>
      <w:r>
        <w:t>Company User and CECODES Administrator roles.</w:t>
      </w:r>
    </w:p>
    <w:p>
      <w:pPr>
        <w:pStyle w:val="ListBullet"/>
      </w:pPr>
      <w:r>
        <w:t>Company → Facility → Reporting Year hierarchy.</w:t>
      </w:r>
    </w:p>
    <w:p>
      <w:pPr>
        <w:pStyle w:val="ListBullet"/>
      </w:pPr>
      <w:r>
        <w:t>Strict data isolation.</w:t>
      </w:r>
    </w:p>
    <w:p>
      <w:r>
        <w:rPr>
          <w:b/>
        </w:rPr>
        <w:t xml:space="preserve">Weekly Check-in Deliverable: </w:t>
      </w:r>
      <w:r>
        <w:t>User registers, creates company/facility/year; admin approves/deactivates.</w:t>
      </w:r>
    </w:p>
    <w:p>
      <w:pPr>
        <w:pStyle w:val="Heading2"/>
      </w:pPr>
      <w:r>
        <w:t>Phase 2 – Emission-Factor Library (Weeks 3–4)</w:t>
      </w:r>
    </w:p>
    <w:p>
      <w:pPr>
        <w:pStyle w:val="ListBullet"/>
      </w:pPr>
      <w:r>
        <w:t>Load confirmed factors.</w:t>
      </w:r>
    </w:p>
    <w:p>
      <w:pPr>
        <w:pStyle w:val="ListBullet"/>
      </w:pPr>
      <w:r>
        <w:t>Admin can view/add/edit/deactivate with version history.</w:t>
      </w:r>
    </w:p>
    <w:p>
      <w:pPr>
        <w:pStyle w:val="ListBullet"/>
      </w:pPr>
      <w:r>
        <w:t>Yearly electricity grid factor.</w:t>
      </w:r>
    </w:p>
    <w:p>
      <w:pPr>
        <w:pStyle w:val="ListBullet"/>
      </w:pPr>
      <w:r>
        <w:t>Prepare version pinning.</w:t>
      </w:r>
    </w:p>
    <w:p>
      <w:r>
        <w:rPr>
          <w:b/>
        </w:rPr>
        <w:t xml:space="preserve">Weekly Check-in Deliverable: </w:t>
      </w:r>
      <w:r>
        <w:t>Admin edits factor library with tracked history.</w:t>
      </w:r>
    </w:p>
    <w:p>
      <w:pPr>
        <w:pStyle w:val="Heading2"/>
      </w:pPr>
      <w:r>
        <w:t>Phase 3 – Data Entry Forms (Weeks 4–6)</w:t>
      </w:r>
    </w:p>
    <w:p>
      <w:pPr>
        <w:pStyle w:val="ListBullet"/>
      </w:pPr>
      <w:r>
        <w:t>Guided Scope → Category → Subcategory → Element flow.</w:t>
      </w:r>
    </w:p>
    <w:p>
      <w:pPr>
        <w:pStyle w:val="ListBullet"/>
      </w:pPr>
      <w:r>
        <w:t>Monthly Scope 2; annual Scopes 1 &amp; 3.</w:t>
      </w:r>
    </w:p>
    <w:p>
      <w:pPr>
        <w:pStyle w:val="ListBullet"/>
      </w:pPr>
      <w:r>
        <w:t>Validation, save/resume, edit later.</w:t>
      </w:r>
    </w:p>
    <w:p>
      <w:r>
        <w:rPr>
          <w:b/>
        </w:rPr>
        <w:t xml:space="preserve">Weekly Check-in Deliverable: </w:t>
      </w:r>
      <w:r>
        <w:t>Complete annual dataset entered and editable.</w:t>
      </w:r>
    </w:p>
    <w:p>
      <w:pPr>
        <w:pStyle w:val="Heading2"/>
      </w:pPr>
      <w:r>
        <w:t>Phase 4 – Calculation Engine (Weeks 6–8)</w:t>
      </w:r>
    </w:p>
    <w:p>
      <w:pPr>
        <w:pStyle w:val="ListBullet"/>
      </w:pPr>
      <w:r>
        <w:t>Per-gas calculations to CO₂e using GWP.</w:t>
      </w:r>
    </w:p>
    <w:p>
      <w:pPr>
        <w:pStyle w:val="ListBullet"/>
      </w:pPr>
      <w:r>
        <w:t>Special cases and unit conversions.</w:t>
      </w:r>
    </w:p>
    <w:p>
      <w:pPr>
        <w:pStyle w:val="ListBullet"/>
      </w:pPr>
      <w:r>
        <w:t>Roll-up totals and parity testing.</w:t>
      </w:r>
    </w:p>
    <w:p>
      <w:r>
        <w:rPr>
          <w:b/>
        </w:rPr>
        <w:t xml:space="preserve">Weekly Check-in Deliverable: </w:t>
      </w:r>
      <w:r>
        <w:t>Tool matches Excel results for sample companies.</w:t>
      </w:r>
    </w:p>
    <w:p>
      <w:pPr>
        <w:pStyle w:val="Heading2"/>
      </w:pPr>
      <w:r>
        <w:t>Phase 5 – Dashboard &amp; Visualizations (Weeks 8–10)</w:t>
      </w:r>
    </w:p>
    <w:p>
      <w:pPr>
        <w:pStyle w:val="ListBullet"/>
      </w:pPr>
      <w:r>
        <w:t>Totals, breakdowns, trends, filters, drill-downs.</w:t>
      </w:r>
    </w:p>
    <w:p>
      <w:r>
        <w:rPr>
          <w:b/>
        </w:rPr>
        <w:t xml:space="preserve">Weekly Check-in Deliverable: </w:t>
      </w:r>
      <w:r>
        <w:t>Interactive dashboard.</w:t>
      </w:r>
    </w:p>
    <w:p>
      <w:pPr>
        <w:pStyle w:val="Heading2"/>
      </w:pPr>
      <w:r>
        <w:t>Phase 6 – Reports &amp; Export (Weeks 10–11)</w:t>
      </w:r>
    </w:p>
    <w:p>
      <w:pPr>
        <w:pStyle w:val="ListBullet"/>
      </w:pPr>
      <w:r>
        <w:t>PDF report.</w:t>
      </w:r>
    </w:p>
    <w:p>
      <w:pPr>
        <w:pStyle w:val="ListBullet"/>
      </w:pPr>
      <w:r>
        <w:t>Excel/CSV export.</w:t>
      </w:r>
    </w:p>
    <w:p>
      <w:r>
        <w:rPr>
          <w:b/>
        </w:rPr>
        <w:t xml:space="preserve">Weekly Check-in Deliverable: </w:t>
      </w:r>
      <w:r>
        <w:t>Downloadable reports.</w:t>
      </w:r>
    </w:p>
    <w:p>
      <w:pPr>
        <w:pStyle w:val="Heading2"/>
      </w:pPr>
      <w:r>
        <w:t>Phase 7 – Hardening, Acceptance &amp; Launch (Weeks 11–12)</w:t>
      </w:r>
    </w:p>
    <w:p>
      <w:pPr>
        <w:pStyle w:val="ListBullet"/>
      </w:pPr>
      <w:r>
        <w:t>Spanish copy review.</w:t>
      </w:r>
    </w:p>
    <w:p>
      <w:pPr>
        <w:pStyle w:val="ListBullet"/>
      </w:pPr>
      <w:r>
        <w:t>Bug fixing, performance, access control.</w:t>
      </w:r>
    </w:p>
    <w:p>
      <w:pPr>
        <w:pStyle w:val="ListBullet"/>
      </w:pPr>
      <w:r>
        <w:t>UAT, deployment, hand-over.</w:t>
      </w:r>
    </w:p>
    <w:p>
      <w:r>
        <w:rPr>
          <w:b/>
        </w:rPr>
        <w:t xml:space="preserve">Weekly Check-in Deliverable: </w:t>
      </w:r>
      <w:r>
        <w:t>CECODES-approved live tool.</w:t>
      </w:r>
    </w:p>
    <w:p>
      <w:pPr>
        <w:pStyle w:val="Heading1"/>
      </w:pPr>
      <w:r>
        <w:t>Recommended Weekly Check-in</w:t>
      </w:r>
    </w:p>
    <w:p>
      <w:pPr>
        <w:pStyle w:val="ListNumber"/>
      </w:pPr>
      <w:r>
        <w:t>Demo of the week's deliverable.</w:t>
      </w:r>
    </w:p>
    <w:p>
      <w:pPr>
        <w:pStyle w:val="ListNumber"/>
      </w:pPr>
      <w:r>
        <w:t>Comments &amp; adjustments.</w:t>
      </w:r>
    </w:p>
    <w:p>
      <w:pPr>
        <w:pStyle w:val="ListNumber"/>
      </w:pPr>
      <w:r>
        <w:t>Decisions needed from CECODES.</w:t>
      </w:r>
    </w:p>
    <w:p>
      <w:pPr>
        <w:pStyle w:val="ListNumber"/>
      </w:pPr>
      <w:r>
        <w:t>Next week's goal and blockers.</w:t>
      </w:r>
    </w:p>
    <w:p>
      <w:pPr>
        <w:pStyle w:val="Heading1"/>
      </w:pPr>
      <w:r>
        <w:t>Timeline Risks</w:t>
      </w:r>
    </w:p>
    <w:p>
      <w:pPr>
        <w:pStyle w:val="ListBullet"/>
      </w:pPr>
      <w:r>
        <w:t>Late Section 12 answers or factor confirmations.</w:t>
      </w:r>
    </w:p>
    <w:p>
      <w:pPr>
        <w:pStyle w:val="ListBullet"/>
      </w:pPr>
      <w:r>
        <w:t>Pending Scope-3 methods.</w:t>
      </w:r>
    </w:p>
    <w:p>
      <w:pPr>
        <w:pStyle w:val="ListBullet"/>
      </w:pPr>
      <w:r>
        <w:t>Target (Meta) feature confirmation.</w:t>
      </w:r>
    </w:p>
    <w:p>
      <w:pPr>
        <w:pStyle w:val="ListBullet"/>
      </w:pPr>
      <w:r>
        <w:t>Larger parity-testing datasets.</w:t>
      </w:r>
    </w:p>
    <w:p>
      <w:r>
        <w:br/>
        <w:t>Draft for discussion: Provide your team size and target launch date to convert these phases into calendar dates.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