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rPr>
          <w:b/>
          <w:bCs/>
          <w:color w:val="1F3864"/>
          <w:sz w:val="34"/>
          <w:szCs w:val="34"/>
        </w:rPr>
        <w:t xml:space="preserve">YouTube Shorts Automation Platform</w:t>
      </w:r>
    </w:p>
    <w:p>
      <w:pPr>
        <w:spacing w:after="300" w:before="100"/>
      </w:pPr>
      <w:r>
        <w:rPr>
          <w:sz w:val="24"/>
          <w:szCs w:val="24"/>
        </w:rPr>
        <w:t xml:space="preserve">Clarification Questions &amp; Change Requests — Response to Implementation Plan</w:t>
      </w:r>
    </w:p>
    <w:p>
      <w:pPr>
        <w:spacing w:after="160" w:line="300"/>
      </w:pPr>
      <w:r>
        <w:rPr>
          <w:b w:val="false"/>
          <w:bCs w:val="false"/>
          <w:i/>
          <w:iCs/>
        </w:rPr>
        <w:t xml:space="preserve">Reference: companion review of the submitted implementation plan against “YouTube Shorts Automation – Project Handover Spec.docx” (v1.0).</w:t>
      </w:r>
    </w:p>
    <w:p>
      <w:pPr>
        <w:spacing w:after="160" w:line="300"/>
      </w:pPr>
      <w:r>
        <w:rPr>
          <w:b w:val="false"/>
          <w:bCs w:val="false"/>
          <w:i/>
          <w:iCs/>
        </w:rPr>
        <w:t xml:space="preserve">Document version: 1.0   |   Status: Awaiting vendor response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This document lists items from the submitted implementation plan that require clarification, correction, or an explicit decision before development proceeds. Each item is numbered for reference in vendor responses. A blank “Vendor Response” column is provided for the implementing team to fill in and return.</w:t>
      </w:r>
    </w:p>
    <w:p>
      <w:pPr>
        <w:pStyle w:val="Heading1"/>
        <w:spacing w:after="180" w:before="360"/>
      </w:pPr>
      <w:r>
        <w:t xml:space="preserve">Critical — Resolve Before Implementation Proceeds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00"/>
        <w:gridCol w:w="2650"/>
        <w:gridCol w:w="2650"/>
        <w:gridCol w:w="1776"/>
      </w:tblGrid>
      <w:tr>
        <w:trPr>
          <w:tblHeader/>
        </w:trPr>
        <w:tc>
          <w:tcPr>
            <w:tcW w:type="dxa" w:w="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Requested Action / Question</w:t>
            </w:r>
          </w:p>
        </w:tc>
        <w:tc>
          <w:tcPr>
            <w:tcW w:type="dxa" w:w="177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Vendor Response</w:t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Dockerfile or docker-compose is present despite Spec §13.2 and NFR-06 requiring containerized services.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containerization will be included in the delivered code, not only implied by the repo layout.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plan does not specify how OAuth tokens and API keys are protected at rest, as required by Spec §14.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Specify the secrets-storage mechanism to be used (e.g. a secrets manager, encrypted DB column, OS keychain) before implementation starts.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C-03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 mechanism unproven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“Resumes exactly where it left off” is asserted (FR-17, NFR-01) without showing the underlying mechanism.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Provide the specific implementation detail (e.g. unique constraint on youtube_video_id, existence check before each write).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C-04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Quality gate missing semantic check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Only technical checks (aspect ratio, duration, audio levels) are described. The “does this clip make sense standalone” LLM pass from Spec §9.8 / §18 appears to be missing or folded into an earlier, non-equivalent step.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whether a post-render semantic quality check exists, and where in the pipeline it runs.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Moderate — Clarify Before or During Build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00"/>
        <w:gridCol w:w="2650"/>
        <w:gridCol w:w="2650"/>
        <w:gridCol w:w="1776"/>
      </w:tblGrid>
      <w:tr>
        <w:trPr>
          <w:tblHeader/>
        </w:trPr>
        <w:tc>
          <w:tcPr>
            <w:tcW w:type="dxa" w:w="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Requested Action / Question</w:t>
            </w:r>
          </w:p>
        </w:tc>
        <w:tc>
          <w:tcPr>
            <w:tcW w:type="dxa" w:w="177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Vendor Response</w:t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WebSub renewal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PubSubHubbub subscriptions to YouTube's hub expire on a lease. No renewal logic is mentioned; detection could silently degrade to RSS-only polling over time.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subscription renewal is handled automatically.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SQLite as default store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Workable for a single-channel MVP, but SQLite serializes concurrent writers even in WAL mode.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State the explicit criteria/trigger for migrating to PostgreSQL.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M-03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Transcription alignment accuracy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Plain Whisper/faster-whisper cross-attention timestamps drift more than a forced-alignment pass (e.g. WhisperX). This affects FR-06 (never cut mid-word) and the ±100ms caption-sync acceptance bar (Spec §15.2).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whether a forced-alignment step is included, not just native model timestamps.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M-04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active-speaker detection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 §9.5 calls for active-speaker detection on multi-speaker footage. The plan only has face/body detection with a center-crop fallback.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plans to add active-speaker detection, or explicitly accept this limitation for Phase 1.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M-05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Outdated face detector listed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Haar cascades are listed as interchangeable with YuNet; Haar is markedly less reliable across lighting/angle variation.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Drop Haar cascade; standardize on a modern detector (e.g. YuNet or equivalent).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M-06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Configurable segment count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FR-05 (3–8 segments per video, configurable) is not addressed anywhere in the clip-selection description.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this is implemented, not simply omitted from the write-up.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M-07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monitoring/alerting integration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 §16 calls for proactive alerting (e.g. Slack/Telegram/Sentry). The dashboard's audit log is visibility only, not alerting.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an alerting hook will be included for pipeline failures.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M-08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CI/CD pipeline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 §13.4 calls for an automated, test-gated deployment process; none is described.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the build/test/deploy pipeline that will gate production releases.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M-09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Verification plan doesn't test the spec's acceptance criteria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listed tests check that components work, but none explicitly test the three named scenarios in Spec §15.2: no duplicate publish on retry, correct resume after a forced mid-job restart, and queueing (not failing) at API quota limits.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Add explicit automated tests for these three scenarios by name.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Minor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00"/>
        <w:gridCol w:w="2650"/>
        <w:gridCol w:w="2650"/>
        <w:gridCol w:w="1776"/>
      </w:tblGrid>
      <w:tr>
        <w:trPr>
          <w:tblHeader/>
        </w:trPr>
        <w:tc>
          <w:tcPr>
            <w:tcW w:type="dxa" w:w="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Requested Action / Question</w:t>
            </w:r>
          </w:p>
        </w:tc>
        <w:tc>
          <w:tcPr>
            <w:tcW w:type="dxa" w:w="177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Vendor Response</w:t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Repo path contains a space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`d:/Projects/YT AUTOMATION/` can cause friction with some build tools and Docker contexts.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Rename to a space-free path (e.g. yt-automation) before build begins.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N-02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Fixed vs. dynamic caption styling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The plan uses a fixed high-contrast caption style rather than the spec's dynamic background-sampling (FR-09). This is a reasonable, arguably more robust approach in practice — but it is a literal deviation from the written requirement.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 explicit client sign-off on the fixed-style approach rather than treating it as an implicit substitution.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t xml:space="preserve">Strategic Question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1300"/>
        <w:gridCol w:w="2650"/>
        <w:gridCol w:w="2650"/>
        <w:gridCol w:w="1776"/>
      </w:tblGrid>
      <w:tr>
        <w:trPr>
          <w:tblHeader/>
        </w:trPr>
        <w:tc>
          <w:tcPr>
            <w:tcW w:type="dxa" w:w="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Observation</w:t>
            </w:r>
          </w:p>
        </w:tc>
        <w:tc>
          <w:tcPr>
            <w:tcW w:type="dxa" w:w="26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Requested Action / Question</w:t>
            </w:r>
          </w:p>
        </w:tc>
        <w:tc>
          <w:tcPr>
            <w:tcW w:type="dxa" w:w="1776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Vendor Response</w:t>
            </w:r>
          </w:p>
        </w:tc>
      </w:tr>
      <w:tr>
        <w:tc>
          <w:tcPr>
            <w:tcW w:type="dxa" w:w="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Q-01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Phase 0 vs. Phase 0+1 scope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 §19 deliberately phases delivery starting with a small, single-channel, manual-trigger Phase 0 MVP, specifically to validate clip-selection quality before investing in detection, orchestration, and a full dashboard. This plan appears to build all 9 services, the orchestrator, and a full operator dashboard in a single pass.</w:t>
            </w:r>
          </w:p>
        </w:tc>
        <w:tc>
          <w:tcPr>
            <w:tcW w:type="dxa" w:w="26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 whether this plan represents Phase 0 alone, or a deliberate merge of Phase 0 and Phase 1 — and if merged, confirm that this was a conscious scope decision rather than an oversight.</w:t>
            </w:r>
          </w:p>
        </w:tc>
        <w:tc>
          <w:tcPr>
            <w:tcW w:type="dxa" w:w="177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80" w:before="360"/>
      </w:pPr>
      <w:r>
        <w:t xml:space="preserve">Summary</w:t>
      </w:r>
    </w:p>
    <w:p>
      <w:pPr>
        <w:spacing w:after="160" w:line="300"/>
      </w:pPr>
      <w:r>
        <w:rPr>
          <w:b w:val="false"/>
          <w:bCs w:val="false"/>
          <w:i w:val="false"/>
          <w:iCs w:val="false"/>
        </w:rPr>
        <w:t xml:space="preserve">4 critical items should be resolved before development starts. 9 moderate items should be clarified either before or early in the build. 2 minor items are low-risk but worth explicit sign-off. 1 strategic question about scope sequencing (Q-01) should be settled first, since the answer affects how much of the critical/moderate list applies to the immediate next milestone versus a later phase.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2026-09-10T06:27:16.888Z</dcterms:created>
  <dcterms:modified xsi:type="dcterms:W3CDTF">2026-09-10T06:27:16.902Z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