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rPr>
          <w:b/>
          <w:bCs/>
          <w:color w:val="1F3864"/>
          <w:sz w:val="34"/>
          <w:szCs w:val="34"/>
        </w:rPr>
        <w:t xml:space="preserve">YouTube Shorts Automation Platform</w:t>
      </w:r>
    </w:p>
    <w:p>
      <w:pPr>
        <w:spacing w:after="300" w:before="100"/>
      </w:pPr>
      <w:r>
        <w:rPr>
          <w:sz w:val="24"/>
          <w:szCs w:val="24"/>
        </w:rPr>
        <w:t xml:space="preserve">Round 2 — Outstanding Items on the Revised Implementation Plan</w:t>
      </w:r>
    </w:p>
    <w:p>
      <w:pPr>
        <w:spacing w:after="160" w:line="300"/>
      </w:pPr>
      <w:r>
        <w:rPr>
          <w:b w:val="false"/>
          <w:bCs w:val="false"/>
          <w:i/>
          <w:iCs/>
        </w:rPr>
        <w:t xml:space="preserve">Reference: follow-up to “YouTube Shorts Automation – Clarification Questions and Change Requests” (Round 1) and the vendor's revised implementation plan.</w:t>
      </w:r>
    </w:p>
    <w:p>
      <w:pPr>
        <w:spacing w:after="160" w:line="300"/>
      </w:pPr>
      <w:r>
        <w:rPr>
          <w:b w:val="false"/>
          <w:bCs w:val="false"/>
          <w:i/>
          <w:iCs/>
        </w:rPr>
        <w:t xml:space="preserve">Document version: 1.1   |   Status: All 7 items resolved by vendor — closed, with minor non-blocking follow-ups noted below</w:t>
      </w:r>
    </w:p>
    <w:p>
      <w:pPr>
        <w:spacing w:after="160" w:line="300"/>
      </w:pPr>
      <w:r>
        <w:rPr>
          <w:b w:val="false"/>
          <w:bCs w:val="false"/>
          <w:i w:val="false"/>
          <w:iCs w:val="false"/>
        </w:rPr>
        <w:t xml:space="preserve">The revised implementation plan resolved 12 of the 16 items raised in Round 1, including a strong reworking of the delivery phasing. This document covers the remaining 7 items: 3 carried over from Round 1 that are still open or only partially addressed, and 4 new findings identified while reviewing the revision itself.</w:t>
      </w:r>
    </w:p>
    <w:p>
      <w:pPr>
        <w:pStyle w:val="Heading1"/>
        <w:spacing w:after="180" w:before="360"/>
      </w:pPr>
      <w:r>
        <w:t xml:space="preserve">Carried Over From Round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
        <w:gridCol w:w="1500"/>
        <w:gridCol w:w="2950"/>
        <w:gridCol w:w="2350"/>
        <w:gridCol w:w="1476"/>
      </w:tblGrid>
      <w:tr>
        <w:trPr>
          <w:tblHeader/>
        </w:trPr>
        <w:tc>
          <w:tcPr>
            <w:tcW w:type="dxa" w:w="750"/>
            <w:shd w:fill="1F3864" w:val="clear"/>
            <w:tcMar>
              <w:top w:type="dxa" w:w="80"/>
              <w:left w:type="dxa" w:w="100"/>
              <w:bottom w:type="dxa" w:w="80"/>
              <w:right w:type="dxa" w:w="100"/>
            </w:tcMar>
            <w:vAlign w:val="center"/>
          </w:tcPr>
          <w:p>
            <w:r>
              <w:rPr>
                <w:b/>
                <w:bCs/>
                <w:color w:val="FFFFFF"/>
                <w:sz w:val="19"/>
                <w:szCs w:val="19"/>
              </w:rPr>
              <w:t xml:space="preserve">ID</w:t>
            </w:r>
          </w:p>
        </w:tc>
        <w:tc>
          <w:tcPr>
            <w:tcW w:type="dxa" w:w="1500"/>
            <w:shd w:fill="1F3864" w:val="clear"/>
            <w:tcMar>
              <w:top w:type="dxa" w:w="80"/>
              <w:left w:type="dxa" w:w="100"/>
              <w:bottom w:type="dxa" w:w="80"/>
              <w:right w:type="dxa" w:w="100"/>
            </w:tcMar>
            <w:vAlign w:val="center"/>
          </w:tcPr>
          <w:p>
            <w:r>
              <w:rPr>
                <w:b/>
                <w:bCs/>
                <w:color w:val="FFFFFF"/>
                <w:sz w:val="19"/>
                <w:szCs w:val="19"/>
              </w:rPr>
              <w:t xml:space="preserve">Item</w:t>
            </w:r>
          </w:p>
        </w:tc>
        <w:tc>
          <w:tcPr>
            <w:tcW w:type="dxa" w:w="2950"/>
            <w:shd w:fill="1F3864" w:val="clear"/>
            <w:tcMar>
              <w:top w:type="dxa" w:w="80"/>
              <w:left w:type="dxa" w:w="100"/>
              <w:bottom w:type="dxa" w:w="80"/>
              <w:right w:type="dxa" w:w="100"/>
            </w:tcMar>
            <w:vAlign w:val="center"/>
          </w:tcPr>
          <w:p>
            <w:r>
              <w:rPr>
                <w:b/>
                <w:bCs/>
                <w:color w:val="FFFFFF"/>
                <w:sz w:val="19"/>
                <w:szCs w:val="19"/>
              </w:rPr>
              <w:t xml:space="preserve">Observation</w:t>
            </w:r>
          </w:p>
        </w:tc>
        <w:tc>
          <w:tcPr>
            <w:tcW w:type="dxa" w:w="2350"/>
            <w:shd w:fill="1F3864" w:val="clear"/>
            <w:tcMar>
              <w:top w:type="dxa" w:w="80"/>
              <w:left w:type="dxa" w:w="100"/>
              <w:bottom w:type="dxa" w:w="80"/>
              <w:right w:type="dxa" w:w="100"/>
            </w:tcMar>
            <w:vAlign w:val="center"/>
          </w:tcPr>
          <w:p>
            <w:r>
              <w:rPr>
                <w:b/>
                <w:bCs/>
                <w:color w:val="FFFFFF"/>
                <w:sz w:val="19"/>
                <w:szCs w:val="19"/>
              </w:rPr>
              <w:t xml:space="preserve">Requested Action / Question</w:t>
            </w:r>
          </w:p>
        </w:tc>
        <w:tc>
          <w:tcPr>
            <w:tcW w:type="dxa" w:w="1476"/>
            <w:shd w:fill="1F3864" w:val="clear"/>
            <w:tcMar>
              <w:top w:type="dxa" w:w="80"/>
              <w:left w:type="dxa" w:w="100"/>
              <w:bottom w:type="dxa" w:w="80"/>
              <w:right w:type="dxa" w:w="100"/>
            </w:tcMar>
            <w:vAlign w:val="center"/>
          </w:tcPr>
          <w:p>
            <w:r>
              <w:rPr>
                <w:b/>
                <w:bCs/>
                <w:color w:val="FFFFFF"/>
                <w:sz w:val="19"/>
                <w:szCs w:val="19"/>
              </w:rPr>
              <w:t xml:space="preserve">Vendor Response</w:t>
            </w:r>
          </w:p>
        </w:tc>
      </w:tr>
      <w:tr>
        <w:tc>
          <w:tcPr>
            <w:tcW w:type="dxa" w:w="750"/>
            <w:tcMar>
              <w:top w:type="dxa" w:w="80"/>
              <w:left w:type="dxa" w:w="100"/>
              <w:bottom w:type="dxa" w:w="80"/>
              <w:right w:type="dxa" w:w="100"/>
            </w:tcMar>
            <w:vAlign w:val="center"/>
          </w:tcPr>
          <w:p>
            <w:r>
              <w:rPr>
                <w:b w:val="false"/>
                <w:bCs w:val="false"/>
                <w:sz w:val="19"/>
                <w:szCs w:val="19"/>
              </w:rPr>
              <w:t xml:space="preserve">N-01</w:t>
            </w:r>
          </w:p>
        </w:tc>
        <w:tc>
          <w:tcPr>
            <w:tcW w:type="dxa" w:w="1500"/>
            <w:tcMar>
              <w:top w:type="dxa" w:w="80"/>
              <w:left w:type="dxa" w:w="100"/>
              <w:bottom w:type="dxa" w:w="80"/>
              <w:right w:type="dxa" w:w="100"/>
            </w:tcMar>
            <w:vAlign w:val="center"/>
          </w:tcPr>
          <w:p>
            <w:r>
              <w:rPr>
                <w:b w:val="false"/>
                <w:bCs w:val="false"/>
                <w:sz w:val="19"/>
                <w:szCs w:val="19"/>
              </w:rPr>
              <w:t xml:space="preserve">Repo path contains a space</w:t>
            </w:r>
          </w:p>
        </w:tc>
        <w:tc>
          <w:tcPr>
            <w:tcW w:type="dxa" w:w="2950"/>
            <w:tcMar>
              <w:top w:type="dxa" w:w="80"/>
              <w:left w:type="dxa" w:w="100"/>
              <w:bottom w:type="dxa" w:w="80"/>
              <w:right w:type="dxa" w:w="100"/>
            </w:tcMar>
            <w:vAlign w:val="center"/>
          </w:tcPr>
          <w:p>
            <w:r>
              <w:rPr>
                <w:b w:val="false"/>
                <w:bCs w:val="false"/>
                <w:sz w:val="19"/>
                <w:szCs w:val="19"/>
              </w:rPr>
              <w:t xml:space="preserve">Still `d:/Projects/YT AUTOMATION/` in the revised repository structure — unchanged from Round 1.</w:t>
            </w:r>
          </w:p>
        </w:tc>
        <w:tc>
          <w:tcPr>
            <w:tcW w:type="dxa" w:w="2350"/>
            <w:tcMar>
              <w:top w:type="dxa" w:w="80"/>
              <w:left w:type="dxa" w:w="100"/>
              <w:bottom w:type="dxa" w:w="80"/>
              <w:right w:type="dxa" w:w="100"/>
            </w:tcMar>
            <w:vAlign w:val="center"/>
          </w:tcPr>
          <w:p>
            <w:r>
              <w:rPr>
                <w:b w:val="false"/>
                <w:bCs w:val="false"/>
                <w:sz w:val="19"/>
                <w:szCs w:val="19"/>
              </w:rPr>
              <w:t xml:space="preserve">Rename to a space-free path (e.g. yt-automation) before build begins.</w:t>
            </w:r>
          </w:p>
        </w:tc>
        <w:tc>
          <w:tcPr>
            <w:tcW w:type="dxa" w:w="1476"/>
            <w:tcMar>
              <w:top w:type="dxa" w:w="80"/>
              <w:left w:type="dxa" w:w="100"/>
              <w:bottom w:type="dxa" w:w="80"/>
              <w:right w:type="dxa" w:w="100"/>
            </w:tcMar>
            <w:vAlign w:val="center"/>
          </w:tcPr>
          <w:p>
            <w:r>
              <w:rPr>
                <w:b w:val="false"/>
                <w:bCs w:val="false"/>
                <w:sz w:val="19"/>
                <w:szCs w:val="19"/>
              </w:rPr>
              <w:t xml:space="preserve"/>
            </w:r>
          </w:p>
        </w:tc>
      </w:tr>
      <w:tr>
        <w:tc>
          <w:tcPr>
            <w:tcW w:type="dxa" w:w="750"/>
            <w:tcMar>
              <w:top w:type="dxa" w:w="80"/>
              <w:left w:type="dxa" w:w="100"/>
              <w:bottom w:type="dxa" w:w="80"/>
              <w:right w:type="dxa" w:w="100"/>
            </w:tcMar>
            <w:vAlign w:val="center"/>
          </w:tcPr>
          <w:p>
            <w:r>
              <w:rPr>
                <w:b w:val="false"/>
                <w:bCs w:val="false"/>
                <w:sz w:val="19"/>
                <w:szCs w:val="19"/>
              </w:rPr>
              <w:t xml:space="preserve">M-08</w:t>
            </w:r>
          </w:p>
        </w:tc>
        <w:tc>
          <w:tcPr>
            <w:tcW w:type="dxa" w:w="1500"/>
            <w:tcMar>
              <w:top w:type="dxa" w:w="80"/>
              <w:left w:type="dxa" w:w="100"/>
              <w:bottom w:type="dxa" w:w="80"/>
              <w:right w:type="dxa" w:w="100"/>
            </w:tcMar>
            <w:vAlign w:val="center"/>
          </w:tcPr>
          <w:p>
            <w:r>
              <w:rPr>
                <w:b w:val="false"/>
                <w:bCs w:val="false"/>
                <w:sz w:val="19"/>
                <w:szCs w:val="19"/>
              </w:rPr>
              <w:t xml:space="preserve">CI present, but no CD</w:t>
            </w:r>
          </w:p>
        </w:tc>
        <w:tc>
          <w:tcPr>
            <w:tcW w:type="dxa" w:w="2950"/>
            <w:tcMar>
              <w:top w:type="dxa" w:w="80"/>
              <w:left w:type="dxa" w:w="100"/>
              <w:bottom w:type="dxa" w:w="80"/>
              <w:right w:type="dxa" w:w="100"/>
            </w:tcMar>
            <w:vAlign w:val="center"/>
          </w:tcPr>
          <w:p>
            <w:r>
              <w:rPr>
                <w:b w:val="false"/>
                <w:bCs w:val="false"/>
                <w:sz w:val="19"/>
                <w:szCs w:val="19"/>
              </w:rPr>
              <w:t xml:space="preserve">The GitHub Actions workflow covers linting and testing only. No deployment automation is described for promoting a passing build to staging/production.</w:t>
            </w:r>
          </w:p>
        </w:tc>
        <w:tc>
          <w:tcPr>
            <w:tcW w:type="dxa" w:w="2350"/>
            <w:tcMar>
              <w:top w:type="dxa" w:w="80"/>
              <w:left w:type="dxa" w:w="100"/>
              <w:bottom w:type="dxa" w:w="80"/>
              <w:right w:type="dxa" w:w="100"/>
            </w:tcMar>
            <w:vAlign w:val="center"/>
          </w:tcPr>
          <w:p>
            <w:r>
              <w:rPr>
                <w:b w:val="false"/>
                <w:bCs w:val="false"/>
                <w:sz w:val="19"/>
                <w:szCs w:val="19"/>
              </w:rPr>
              <w:t xml:space="preserve">Confirm whether deployment automation is deferred to Milestone 3 and will be described there, or add it now.</w:t>
            </w:r>
          </w:p>
        </w:tc>
        <w:tc>
          <w:tcPr>
            <w:tcW w:type="dxa" w:w="1476"/>
            <w:tcMar>
              <w:top w:type="dxa" w:w="80"/>
              <w:left w:type="dxa" w:w="100"/>
              <w:bottom w:type="dxa" w:w="80"/>
              <w:right w:type="dxa" w:w="100"/>
            </w:tcMar>
            <w:vAlign w:val="center"/>
          </w:tcPr>
          <w:p>
            <w:r>
              <w:rPr>
                <w:b w:val="false"/>
                <w:bCs w:val="false"/>
                <w:sz w:val="19"/>
                <w:szCs w:val="19"/>
              </w:rPr>
              <w:t xml:space="preserve"/>
            </w:r>
          </w:p>
        </w:tc>
      </w:tr>
      <w:tr>
        <w:tc>
          <w:tcPr>
            <w:tcW w:type="dxa" w:w="750"/>
            <w:tcMar>
              <w:top w:type="dxa" w:w="80"/>
              <w:left w:type="dxa" w:w="100"/>
              <w:bottom w:type="dxa" w:w="80"/>
              <w:right w:type="dxa" w:w="100"/>
            </w:tcMar>
            <w:vAlign w:val="center"/>
          </w:tcPr>
          <w:p>
            <w:r>
              <w:rPr>
                <w:b w:val="false"/>
                <w:bCs w:val="false"/>
                <w:sz w:val="19"/>
                <w:szCs w:val="19"/>
              </w:rPr>
              <w:t xml:space="preserve">C-04</w:t>
            </w:r>
          </w:p>
        </w:tc>
        <w:tc>
          <w:tcPr>
            <w:tcW w:type="dxa" w:w="1500"/>
            <w:tcMar>
              <w:top w:type="dxa" w:w="80"/>
              <w:left w:type="dxa" w:w="100"/>
              <w:bottom w:type="dxa" w:w="80"/>
              <w:right w:type="dxa" w:w="100"/>
            </w:tcMar>
            <w:vAlign w:val="center"/>
          </w:tcPr>
          <w:p>
            <w:r>
              <w:rPr>
                <w:b w:val="false"/>
                <w:bCs w:val="false"/>
                <w:sz w:val="19"/>
                <w:szCs w:val="19"/>
              </w:rPr>
              <w:t xml:space="preserve">Semantic check is transcript-only</w:t>
            </w:r>
          </w:p>
        </w:tc>
        <w:tc>
          <w:tcPr>
            <w:tcW w:type="dxa" w:w="2950"/>
            <w:tcMar>
              <w:top w:type="dxa" w:w="80"/>
              <w:left w:type="dxa" w:w="100"/>
              <w:bottom w:type="dxa" w:w="80"/>
              <w:right w:type="dxa" w:w="100"/>
            </w:tcMar>
            <w:vAlign w:val="center"/>
          </w:tcPr>
          <w:p>
            <w:r>
              <w:rPr>
                <w:b w:val="false"/>
                <w:bCs w:val="false"/>
                <w:sz w:val="19"/>
                <w:szCs w:val="19"/>
              </w:rPr>
              <w:t xml:space="preserve">The added semantic_check.py evaluates the segment's transcript, hook, and payoff — it re-validates narrative coherence but does not inspect the finished render. Nothing currently verifies the subject stayed in frame, captions don't overlap or run off-screen, or the audio mix is intelligible.</w:t>
            </w:r>
          </w:p>
        </w:tc>
        <w:tc>
          <w:tcPr>
            <w:tcW w:type="dxa" w:w="2350"/>
            <w:tcMar>
              <w:top w:type="dxa" w:w="80"/>
              <w:left w:type="dxa" w:w="100"/>
              <w:bottom w:type="dxa" w:w="80"/>
              <w:right w:type="dxa" w:w="100"/>
            </w:tcMar>
            <w:vAlign w:val="center"/>
          </w:tcPr>
          <w:p>
            <w:r>
              <w:rPr>
                <w:b w:val="false"/>
                <w:bCs w:val="false"/>
                <w:sz w:val="19"/>
                <w:szCs w:val="19"/>
              </w:rPr>
              <w:t xml:space="preserve">Add a check (automated or via human review) that evaluates the finished render itself, not only the text behind it.</w:t>
            </w:r>
          </w:p>
        </w:tc>
        <w:tc>
          <w:tcPr>
            <w:tcW w:type="dxa" w:w="1476"/>
            <w:tcMar>
              <w:top w:type="dxa" w:w="80"/>
              <w:left w:type="dxa" w:w="100"/>
              <w:bottom w:type="dxa" w:w="80"/>
              <w:right w:type="dxa" w:w="100"/>
            </w:tcMar>
            <w:vAlign w:val="center"/>
          </w:tcPr>
          <w:p>
            <w:r>
              <w:rPr>
                <w:b w:val="false"/>
                <w:bCs w:val="false"/>
                <w:sz w:val="19"/>
                <w:szCs w:val="19"/>
              </w:rPr>
              <w:t xml:space="preserve"/>
            </w:r>
          </w:p>
        </w:tc>
      </w:tr>
    </w:tbl>
    <w:p>
      <w:pPr>
        <w:pStyle w:val="Heading1"/>
        <w:spacing w:after="180" w:before="360"/>
      </w:pPr>
      <w:r>
        <w:t xml:space="preserve">New Findings From Round 2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
        <w:gridCol w:w="1500"/>
        <w:gridCol w:w="2950"/>
        <w:gridCol w:w="2350"/>
        <w:gridCol w:w="1476"/>
      </w:tblGrid>
      <w:tr>
        <w:trPr>
          <w:tblHeader/>
        </w:trPr>
        <w:tc>
          <w:tcPr>
            <w:tcW w:type="dxa" w:w="750"/>
            <w:shd w:fill="1F3864" w:val="clear"/>
            <w:tcMar>
              <w:top w:type="dxa" w:w="80"/>
              <w:left w:type="dxa" w:w="100"/>
              <w:bottom w:type="dxa" w:w="80"/>
              <w:right w:type="dxa" w:w="100"/>
            </w:tcMar>
            <w:vAlign w:val="center"/>
          </w:tcPr>
          <w:p>
            <w:r>
              <w:rPr>
                <w:b/>
                <w:bCs/>
                <w:color w:val="FFFFFF"/>
                <w:sz w:val="19"/>
                <w:szCs w:val="19"/>
              </w:rPr>
              <w:t xml:space="preserve">ID</w:t>
            </w:r>
          </w:p>
        </w:tc>
        <w:tc>
          <w:tcPr>
            <w:tcW w:type="dxa" w:w="1500"/>
            <w:shd w:fill="1F3864" w:val="clear"/>
            <w:tcMar>
              <w:top w:type="dxa" w:w="80"/>
              <w:left w:type="dxa" w:w="100"/>
              <w:bottom w:type="dxa" w:w="80"/>
              <w:right w:type="dxa" w:w="100"/>
            </w:tcMar>
            <w:vAlign w:val="center"/>
          </w:tcPr>
          <w:p>
            <w:r>
              <w:rPr>
                <w:b/>
                <w:bCs/>
                <w:color w:val="FFFFFF"/>
                <w:sz w:val="19"/>
                <w:szCs w:val="19"/>
              </w:rPr>
              <w:t xml:space="preserve">Item</w:t>
            </w:r>
          </w:p>
        </w:tc>
        <w:tc>
          <w:tcPr>
            <w:tcW w:type="dxa" w:w="2950"/>
            <w:shd w:fill="1F3864" w:val="clear"/>
            <w:tcMar>
              <w:top w:type="dxa" w:w="80"/>
              <w:left w:type="dxa" w:w="100"/>
              <w:bottom w:type="dxa" w:w="80"/>
              <w:right w:type="dxa" w:w="100"/>
            </w:tcMar>
            <w:vAlign w:val="center"/>
          </w:tcPr>
          <w:p>
            <w:r>
              <w:rPr>
                <w:b/>
                <w:bCs/>
                <w:color w:val="FFFFFF"/>
                <w:sz w:val="19"/>
                <w:szCs w:val="19"/>
              </w:rPr>
              <w:t xml:space="preserve">Observation</w:t>
            </w:r>
          </w:p>
        </w:tc>
        <w:tc>
          <w:tcPr>
            <w:tcW w:type="dxa" w:w="2350"/>
            <w:shd w:fill="1F3864" w:val="clear"/>
            <w:tcMar>
              <w:top w:type="dxa" w:w="80"/>
              <w:left w:type="dxa" w:w="100"/>
              <w:bottom w:type="dxa" w:w="80"/>
              <w:right w:type="dxa" w:w="100"/>
            </w:tcMar>
            <w:vAlign w:val="center"/>
          </w:tcPr>
          <w:p>
            <w:r>
              <w:rPr>
                <w:b/>
                <w:bCs/>
                <w:color w:val="FFFFFF"/>
                <w:sz w:val="19"/>
                <w:szCs w:val="19"/>
              </w:rPr>
              <w:t xml:space="preserve">Requested Action / Question</w:t>
            </w:r>
          </w:p>
        </w:tc>
        <w:tc>
          <w:tcPr>
            <w:tcW w:type="dxa" w:w="1476"/>
            <w:shd w:fill="1F3864" w:val="clear"/>
            <w:tcMar>
              <w:top w:type="dxa" w:w="80"/>
              <w:left w:type="dxa" w:w="100"/>
              <w:bottom w:type="dxa" w:w="80"/>
              <w:right w:type="dxa" w:w="100"/>
            </w:tcMar>
            <w:vAlign w:val="center"/>
          </w:tcPr>
          <w:p>
            <w:r>
              <w:rPr>
                <w:b/>
                <w:bCs/>
                <w:color w:val="FFFFFF"/>
                <w:sz w:val="19"/>
                <w:szCs w:val="19"/>
              </w:rPr>
              <w:t xml:space="preserve">Vendor Response</w:t>
            </w:r>
          </w:p>
        </w:tc>
      </w:tr>
      <w:tr>
        <w:tc>
          <w:tcPr>
            <w:tcW w:type="dxa" w:w="750"/>
            <w:tcMar>
              <w:top w:type="dxa" w:w="80"/>
              <w:left w:type="dxa" w:w="100"/>
              <w:bottom w:type="dxa" w:w="80"/>
              <w:right w:type="dxa" w:w="100"/>
            </w:tcMar>
            <w:vAlign w:val="center"/>
          </w:tcPr>
          <w:p>
            <w:r>
              <w:rPr>
                <w:b w:val="false"/>
                <w:bCs w:val="false"/>
                <w:sz w:val="19"/>
                <w:szCs w:val="19"/>
              </w:rPr>
              <w:t xml:space="preserve">R2-01</w:t>
            </w:r>
          </w:p>
        </w:tc>
        <w:tc>
          <w:tcPr>
            <w:tcW w:type="dxa" w:w="1500"/>
            <w:tcMar>
              <w:top w:type="dxa" w:w="80"/>
              <w:left w:type="dxa" w:w="100"/>
              <w:bottom w:type="dxa" w:w="80"/>
              <w:right w:type="dxa" w:w="100"/>
            </w:tcMar>
            <w:vAlign w:val="center"/>
          </w:tcPr>
          <w:p>
            <w:r>
              <w:rPr>
                <w:b w:val="false"/>
                <w:bCs w:val="false"/>
                <w:sz w:val="19"/>
                <w:szCs w:val="19"/>
              </w:rPr>
              <w:t xml:space="preserve">Duration limits defined in two places</w:t>
            </w:r>
          </w:p>
        </w:tc>
        <w:tc>
          <w:tcPr>
            <w:tcW w:type="dxa" w:w="2950"/>
            <w:tcMar>
              <w:top w:type="dxa" w:w="80"/>
              <w:left w:type="dxa" w:w="100"/>
              <w:bottom w:type="dxa" w:w="80"/>
              <w:right w:type="dxa" w:w="100"/>
            </w:tcMar>
            <w:vAlign w:val="center"/>
          </w:tcPr>
          <w:p>
            <w:r>
              <w:rPr>
                <w:b w:val="false"/>
                <w:bCs w:val="false"/>
                <w:sz w:val="19"/>
                <w:szCs w:val="19"/>
              </w:rPr>
              <w:t xml:space="preserve">The quality gate's technical check hardcodes duration bounds (15–60s, or configured max ≤180s) separately from clip-selection's MIN/MAX_SEGMENTS_PER_VIDEO config. A mismatch could cause the gate to reject clips that selection was configured to produce.</w:t>
            </w:r>
          </w:p>
        </w:tc>
        <w:tc>
          <w:tcPr>
            <w:tcW w:type="dxa" w:w="2350"/>
            <w:tcMar>
              <w:top w:type="dxa" w:w="80"/>
              <w:left w:type="dxa" w:w="100"/>
              <w:bottom w:type="dxa" w:w="80"/>
              <w:right w:type="dxa" w:w="100"/>
            </w:tcMar>
            <w:vAlign w:val="center"/>
          </w:tcPr>
          <w:p>
            <w:r>
              <w:rPr>
                <w:b w:val="false"/>
                <w:bCs w:val="false"/>
                <w:sz w:val="19"/>
                <w:szCs w:val="19"/>
              </w:rPr>
              <w:t xml:space="preserve">Confirm both read from a single shared configuration value, not independent constants.</w:t>
            </w:r>
          </w:p>
        </w:tc>
        <w:tc>
          <w:tcPr>
            <w:tcW w:type="dxa" w:w="1476"/>
            <w:tcMar>
              <w:top w:type="dxa" w:w="80"/>
              <w:left w:type="dxa" w:w="100"/>
              <w:bottom w:type="dxa" w:w="80"/>
              <w:right w:type="dxa" w:w="100"/>
            </w:tcMar>
            <w:vAlign w:val="center"/>
          </w:tcPr>
          <w:p>
            <w:r>
              <w:rPr>
                <w:b w:val="false"/>
                <w:bCs w:val="false"/>
                <w:sz w:val="19"/>
                <w:szCs w:val="19"/>
              </w:rPr>
              <w:t xml:space="preserve"/>
            </w:r>
          </w:p>
        </w:tc>
      </w:tr>
      <w:tr>
        <w:tc>
          <w:tcPr>
            <w:tcW w:type="dxa" w:w="750"/>
            <w:tcMar>
              <w:top w:type="dxa" w:w="80"/>
              <w:left w:type="dxa" w:w="100"/>
              <w:bottom w:type="dxa" w:w="80"/>
              <w:right w:type="dxa" w:w="100"/>
            </w:tcMar>
            <w:vAlign w:val="center"/>
          </w:tcPr>
          <w:p>
            <w:r>
              <w:rPr>
                <w:b w:val="false"/>
                <w:bCs w:val="false"/>
                <w:sz w:val="19"/>
                <w:szCs w:val="19"/>
              </w:rPr>
              <w:t xml:space="preserve">R2-02</w:t>
            </w:r>
          </w:p>
        </w:tc>
        <w:tc>
          <w:tcPr>
            <w:tcW w:type="dxa" w:w="1500"/>
            <w:tcMar>
              <w:top w:type="dxa" w:w="80"/>
              <w:left w:type="dxa" w:w="100"/>
              <w:bottom w:type="dxa" w:w="80"/>
              <w:right w:type="dxa" w:w="100"/>
            </w:tcMar>
            <w:vAlign w:val="center"/>
          </w:tcPr>
          <w:p>
            <w:r>
              <w:rPr>
                <w:b w:val="false"/>
                <w:bCs w:val="false"/>
                <w:sz w:val="19"/>
                <w:szCs w:val="19"/>
              </w:rPr>
              <w:t xml:space="preserve">Encryption method as described is inaccurate</w:t>
            </w:r>
          </w:p>
        </w:tc>
        <w:tc>
          <w:tcPr>
            <w:tcW w:type="dxa" w:w="2950"/>
            <w:tcMar>
              <w:top w:type="dxa" w:w="80"/>
              <w:left w:type="dxa" w:w="100"/>
              <w:bottom w:type="dxa" w:w="80"/>
              <w:right w:type="dxa" w:w="100"/>
            </w:tcMar>
            <w:vAlign w:val="center"/>
          </w:tcPr>
          <w:p>
            <w:r>
              <w:rPr>
                <w:b w:val="false"/>
                <w:bCs w:val="false"/>
                <w:sz w:val="19"/>
                <w:szCs w:val="19"/>
              </w:rPr>
              <w:t xml:space="preserve">The plan describes “AES-128/256-CBC via cryptography.fernet.Fernet,” but Fernet's specification is fixed to AES-128-CBC + HMAC-SHA256 — it has no 256-bit option.</w:t>
            </w:r>
          </w:p>
        </w:tc>
        <w:tc>
          <w:tcPr>
            <w:tcW w:type="dxa" w:w="2350"/>
            <w:tcMar>
              <w:top w:type="dxa" w:w="80"/>
              <w:left w:type="dxa" w:w="100"/>
              <w:bottom w:type="dxa" w:w="80"/>
              <w:right w:type="dxa" w:w="100"/>
            </w:tcMar>
            <w:vAlign w:val="center"/>
          </w:tcPr>
          <w:p>
            <w:r>
              <w:rPr>
                <w:b w:val="false"/>
                <w:bCs w:val="false"/>
                <w:sz w:val="19"/>
                <w:szCs w:val="19"/>
              </w:rPr>
              <w:t xml:space="preserve">Confirm AES-128 (Fernet's actual guarantee) is sufficient, or specify a different implementation if AES-256 is genuinely required.</w:t>
            </w:r>
          </w:p>
        </w:tc>
        <w:tc>
          <w:tcPr>
            <w:tcW w:type="dxa" w:w="1476"/>
            <w:tcMar>
              <w:top w:type="dxa" w:w="80"/>
              <w:left w:type="dxa" w:w="100"/>
              <w:bottom w:type="dxa" w:w="80"/>
              <w:right w:type="dxa" w:w="100"/>
            </w:tcMar>
            <w:vAlign w:val="center"/>
          </w:tcPr>
          <w:p>
            <w:r>
              <w:rPr>
                <w:b w:val="false"/>
                <w:bCs w:val="false"/>
                <w:sz w:val="19"/>
                <w:szCs w:val="19"/>
              </w:rPr>
              <w:t xml:space="preserve"/>
            </w:r>
          </w:p>
        </w:tc>
      </w:tr>
      <w:tr>
        <w:tc>
          <w:tcPr>
            <w:tcW w:type="dxa" w:w="750"/>
            <w:tcMar>
              <w:top w:type="dxa" w:w="80"/>
              <w:left w:type="dxa" w:w="100"/>
              <w:bottom w:type="dxa" w:w="80"/>
              <w:right w:type="dxa" w:w="100"/>
            </w:tcMar>
            <w:vAlign w:val="center"/>
          </w:tcPr>
          <w:p>
            <w:r>
              <w:rPr>
                <w:b w:val="false"/>
                <w:bCs w:val="false"/>
                <w:sz w:val="19"/>
                <w:szCs w:val="19"/>
              </w:rPr>
              <w:t xml:space="preserve">R2-03</w:t>
            </w:r>
          </w:p>
        </w:tc>
        <w:tc>
          <w:tcPr>
            <w:tcW w:type="dxa" w:w="1500"/>
            <w:tcMar>
              <w:top w:type="dxa" w:w="80"/>
              <w:left w:type="dxa" w:w="100"/>
              <w:bottom w:type="dxa" w:w="80"/>
              <w:right w:type="dxa" w:w="100"/>
            </w:tcMar>
            <w:vAlign w:val="center"/>
          </w:tcPr>
          <w:p>
            <w:r>
              <w:rPr>
                <w:b w:val="false"/>
                <w:bCs w:val="false"/>
                <w:sz w:val="19"/>
                <w:szCs w:val="19"/>
              </w:rPr>
              <w:t xml:space="preserve">Clip status naming inconsistency</w:t>
            </w:r>
          </w:p>
        </w:tc>
        <w:tc>
          <w:tcPr>
            <w:tcW w:type="dxa" w:w="2950"/>
            <w:tcMar>
              <w:top w:type="dxa" w:w="80"/>
              <w:left w:type="dxa" w:w="100"/>
              <w:bottom w:type="dxa" w:w="80"/>
              <w:right w:type="dxa" w:w="100"/>
            </w:tcMar>
            <w:vAlign w:val="center"/>
          </w:tcPr>
          <w:p>
            <w:r>
              <w:rPr>
                <w:b w:val="false"/>
                <w:bCs w:val="false"/>
                <w:sz w:val="19"/>
                <w:szCs w:val="19"/>
              </w:rPr>
              <w:t xml:space="preserve">The review-queue module describes states as WAITING_APPROVAL → APPROVED/REJECTED, but the Clip.status enum in the data model only defines QUALITY_CHECK — no WAITING_APPROVAL.</w:t>
            </w:r>
          </w:p>
        </w:tc>
        <w:tc>
          <w:tcPr>
            <w:tcW w:type="dxa" w:w="2350"/>
            <w:tcMar>
              <w:top w:type="dxa" w:w="80"/>
              <w:left w:type="dxa" w:w="100"/>
              <w:bottom w:type="dxa" w:w="80"/>
              <w:right w:type="dxa" w:w="100"/>
            </w:tcMar>
            <w:vAlign w:val="center"/>
          </w:tcPr>
          <w:p>
            <w:r>
              <w:rPr>
                <w:b w:val="false"/>
                <w:bCs w:val="false"/>
                <w:sz w:val="19"/>
                <w:szCs w:val="19"/>
              </w:rPr>
              <w:t xml:space="preserve">Reconcile the two: add WAITING_APPROVAL to the schema as a distinct state, or confirm it is meant to be synonymous with QUALITY_CHECK.</w:t>
            </w:r>
          </w:p>
        </w:tc>
        <w:tc>
          <w:tcPr>
            <w:tcW w:type="dxa" w:w="1476"/>
            <w:tcMar>
              <w:top w:type="dxa" w:w="80"/>
              <w:left w:type="dxa" w:w="100"/>
              <w:bottom w:type="dxa" w:w="80"/>
              <w:right w:type="dxa" w:w="100"/>
            </w:tcMar>
            <w:vAlign w:val="center"/>
          </w:tcPr>
          <w:p>
            <w:r>
              <w:rPr>
                <w:b w:val="false"/>
                <w:bCs w:val="false"/>
                <w:sz w:val="19"/>
                <w:szCs w:val="19"/>
              </w:rPr>
              <w:t xml:space="preserve"/>
            </w:r>
          </w:p>
        </w:tc>
      </w:tr>
      <w:tr>
        <w:tc>
          <w:tcPr>
            <w:tcW w:type="dxa" w:w="750"/>
            <w:tcMar>
              <w:top w:type="dxa" w:w="80"/>
              <w:left w:type="dxa" w:w="100"/>
              <w:bottom w:type="dxa" w:w="80"/>
              <w:right w:type="dxa" w:w="100"/>
            </w:tcMar>
            <w:vAlign w:val="center"/>
          </w:tcPr>
          <w:p>
            <w:r>
              <w:rPr>
                <w:b w:val="false"/>
                <w:bCs w:val="false"/>
                <w:sz w:val="19"/>
                <w:szCs w:val="19"/>
              </w:rPr>
              <w:t xml:space="preserve">R2-04</w:t>
            </w:r>
          </w:p>
        </w:tc>
        <w:tc>
          <w:tcPr>
            <w:tcW w:type="dxa" w:w="1500"/>
            <w:tcMar>
              <w:top w:type="dxa" w:w="80"/>
              <w:left w:type="dxa" w:w="100"/>
              <w:bottom w:type="dxa" w:w="80"/>
              <w:right w:type="dxa" w:w="100"/>
            </w:tcMar>
            <w:vAlign w:val="center"/>
          </w:tcPr>
          <w:p>
            <w:r>
              <w:rPr>
                <w:b w:val="false"/>
                <w:bCs w:val="false"/>
                <w:sz w:val="19"/>
                <w:szCs w:val="19"/>
              </w:rPr>
              <w:t xml:space="preserve">Recommended LLM is deprecated</w:t>
            </w:r>
          </w:p>
        </w:tc>
        <w:tc>
          <w:tcPr>
            <w:tcW w:type="dxa" w:w="2950"/>
            <w:tcMar>
              <w:top w:type="dxa" w:w="80"/>
              <w:left w:type="dxa" w:w="100"/>
              <w:bottom w:type="dxa" w:w="80"/>
              <w:right w:type="dxa" w:w="100"/>
            </w:tcMar>
            <w:vAlign w:val="center"/>
          </w:tcPr>
          <w:p>
            <w:r>
              <w:rPr>
                <w:b w:val="false"/>
                <w:bCs w:val="false"/>
                <w:sz w:val="19"/>
                <w:szCs w:val="19"/>
              </w:rPr>
              <w:t xml:space="preserve">Gemini 1.5 Flash and 2.0 Flash are being retired (Google has announced a June 1, 2026 shutdown for 2.0 Flash/Flash-Lite); the current Flash lineup has moved well past this generation. Building against the recommended models would not work as of the current date.</w:t>
            </w:r>
          </w:p>
        </w:tc>
        <w:tc>
          <w:tcPr>
            <w:tcW w:type="dxa" w:w="2350"/>
            <w:tcMar>
              <w:top w:type="dxa" w:w="80"/>
              <w:left w:type="dxa" w:w="100"/>
              <w:bottom w:type="dxa" w:w="80"/>
              <w:right w:type="dxa" w:w="100"/>
            </w:tcMar>
            <w:vAlign w:val="center"/>
          </w:tcPr>
          <w:p>
            <w:r>
              <w:rPr>
                <w:b w:val="false"/>
                <w:bCs w:val="false"/>
                <w:sz w:val="19"/>
                <w:szCs w:val="19"/>
              </w:rPr>
              <w:t xml:space="preserve">Update the recommendation to a currently supported model, and make the specific model/version a swappable config value given how quickly this changes.</w:t>
            </w:r>
          </w:p>
        </w:tc>
        <w:tc>
          <w:tcPr>
            <w:tcW w:type="dxa" w:w="1476"/>
            <w:tcMar>
              <w:top w:type="dxa" w:w="80"/>
              <w:left w:type="dxa" w:w="100"/>
              <w:bottom w:type="dxa" w:w="80"/>
              <w:right w:type="dxa" w:w="100"/>
            </w:tcMar>
            <w:vAlign w:val="center"/>
          </w:tcPr>
          <w:p>
            <w:r>
              <w:rPr>
                <w:b w:val="false"/>
                <w:bCs w:val="false"/>
                <w:sz w:val="19"/>
                <w:szCs w:val="19"/>
              </w:rPr>
              <w:t xml:space="preserve"/>
            </w:r>
          </w:p>
        </w:tc>
      </w:tr>
    </w:tbl>
    <w:p>
      <w:pPr>
        <w:pStyle w:val="Heading1"/>
        <w:spacing w:after="180" w:before="360"/>
      </w:pPr>
      <w:r>
        <w:t xml:space="preserve">Summary</w:t>
      </w:r>
    </w:p>
    <w:p>
      <w:pPr>
        <w:spacing w:after="160" w:line="300"/>
      </w:pPr>
      <w:r>
        <w:rPr>
          <w:b w:val="false"/>
          <w:bCs w:val="false"/>
          <w:i w:val="false"/>
          <w:iCs w:val="false"/>
        </w:rPr>
        <w:t xml:space="preserve">None of these 7 items are severe enough to block progress on their own, but R2-04 (deprecated LLM recommendation) should be corrected before any implementation work references a specific model, since the named models would not function as of the current date. The remaining items are small clarifications and consistency fixes that are cheapest to resolve now, before code is written against the mismatched assumptions.</w:t>
      </w:r>
    </w:p>
    <w:p>
      <w:pPr>
        <w:pStyle w:val="Heading1"/>
        <w:spacing w:after="180" w:before="360"/>
      </w:pPr>
      <w:r>
        <w:t xml:space="preserve">Addendum — Final Round Resolution Status</w:t>
      </w:r>
    </w:p>
    <w:p>
      <w:pPr>
        <w:spacing w:after="160" w:line="300"/>
      </w:pPr>
      <w:r>
        <w:rPr>
          <w:b w:val="false"/>
          <w:bCs w:val="false"/>
          <w:i w:val="false"/>
          <w:iCs w:val="false"/>
        </w:rPr>
        <w:t xml:space="preserve">All 7 items above were resolved in the vendor's final implementation plan and accompanying response matrix (dated September 10, 2026), including two items verified independently: the recommended model (gemini-3.8-flash) and its SDK/structured-output approach were confirmed current and correct, and the added render-level quality inspector (addressing C-04) was confirmed to meaningfully check the finished video, not just its transcript. The following four points are minor and non-blocking — worth a quick confirmation, not another formal round.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
        <w:gridCol w:w="1500"/>
        <w:gridCol w:w="2950"/>
        <w:gridCol w:w="2350"/>
        <w:gridCol w:w="1476"/>
      </w:tblGrid>
      <w:tr>
        <w:trPr>
          <w:tblHeader/>
        </w:trPr>
        <w:tc>
          <w:tcPr>
            <w:tcW w:type="dxa" w:w="750"/>
            <w:shd w:fill="1F3864" w:val="clear"/>
            <w:tcMar>
              <w:top w:type="dxa" w:w="80"/>
              <w:left w:type="dxa" w:w="100"/>
              <w:bottom w:type="dxa" w:w="80"/>
              <w:right w:type="dxa" w:w="100"/>
            </w:tcMar>
            <w:vAlign w:val="center"/>
          </w:tcPr>
          <w:p>
            <w:r>
              <w:rPr>
                <w:b/>
                <w:bCs/>
                <w:color w:val="FFFFFF"/>
                <w:sz w:val="19"/>
                <w:szCs w:val="19"/>
              </w:rPr>
              <w:t xml:space="preserve">ID</w:t>
            </w:r>
          </w:p>
        </w:tc>
        <w:tc>
          <w:tcPr>
            <w:tcW w:type="dxa" w:w="1500"/>
            <w:shd w:fill="1F3864" w:val="clear"/>
            <w:tcMar>
              <w:top w:type="dxa" w:w="80"/>
              <w:left w:type="dxa" w:w="100"/>
              <w:bottom w:type="dxa" w:w="80"/>
              <w:right w:type="dxa" w:w="100"/>
            </w:tcMar>
            <w:vAlign w:val="center"/>
          </w:tcPr>
          <w:p>
            <w:r>
              <w:rPr>
                <w:b/>
                <w:bCs/>
                <w:color w:val="FFFFFF"/>
                <w:sz w:val="19"/>
                <w:szCs w:val="19"/>
              </w:rPr>
              <w:t xml:space="preserve">Item</w:t>
            </w:r>
          </w:p>
        </w:tc>
        <w:tc>
          <w:tcPr>
            <w:tcW w:type="dxa" w:w="2950"/>
            <w:shd w:fill="1F3864" w:val="clear"/>
            <w:tcMar>
              <w:top w:type="dxa" w:w="80"/>
              <w:left w:type="dxa" w:w="100"/>
              <w:bottom w:type="dxa" w:w="80"/>
              <w:right w:type="dxa" w:w="100"/>
            </w:tcMar>
            <w:vAlign w:val="center"/>
          </w:tcPr>
          <w:p>
            <w:r>
              <w:rPr>
                <w:b/>
                <w:bCs/>
                <w:color w:val="FFFFFF"/>
                <w:sz w:val="19"/>
                <w:szCs w:val="19"/>
              </w:rPr>
              <w:t xml:space="preserve">Observation</w:t>
            </w:r>
          </w:p>
        </w:tc>
        <w:tc>
          <w:tcPr>
            <w:tcW w:type="dxa" w:w="2350"/>
            <w:shd w:fill="1F3864" w:val="clear"/>
            <w:tcMar>
              <w:top w:type="dxa" w:w="80"/>
              <w:left w:type="dxa" w:w="100"/>
              <w:bottom w:type="dxa" w:w="80"/>
              <w:right w:type="dxa" w:w="100"/>
            </w:tcMar>
            <w:vAlign w:val="center"/>
          </w:tcPr>
          <w:p>
            <w:r>
              <w:rPr>
                <w:b/>
                <w:bCs/>
                <w:color w:val="FFFFFF"/>
                <w:sz w:val="19"/>
                <w:szCs w:val="19"/>
              </w:rPr>
              <w:t xml:space="preserve">Requested Action / Question</w:t>
            </w:r>
          </w:p>
        </w:tc>
        <w:tc>
          <w:tcPr>
            <w:tcW w:type="dxa" w:w="1476"/>
            <w:shd w:fill="1F3864" w:val="clear"/>
            <w:tcMar>
              <w:top w:type="dxa" w:w="80"/>
              <w:left w:type="dxa" w:w="100"/>
              <w:bottom w:type="dxa" w:w="80"/>
              <w:right w:type="dxa" w:w="100"/>
            </w:tcMar>
            <w:vAlign w:val="center"/>
          </w:tcPr>
          <w:p>
            <w:r>
              <w:rPr>
                <w:b/>
                <w:bCs/>
                <w:color w:val="FFFFFF"/>
                <w:sz w:val="19"/>
                <w:szCs w:val="19"/>
              </w:rPr>
              <w:t xml:space="preserve">Vendor Response</w:t>
            </w:r>
          </w:p>
        </w:tc>
      </w:tr>
      <w:tr>
        <w:tc>
          <w:tcPr>
            <w:tcW w:type="dxa" w:w="750"/>
            <w:tcMar>
              <w:top w:type="dxa" w:w="80"/>
              <w:left w:type="dxa" w:w="100"/>
              <w:bottom w:type="dxa" w:w="80"/>
              <w:right w:type="dxa" w:w="100"/>
            </w:tcMar>
            <w:vAlign w:val="center"/>
          </w:tcPr>
          <w:p>
            <w:r>
              <w:rPr>
                <w:b w:val="false"/>
                <w:bCs w:val="false"/>
                <w:sz w:val="19"/>
                <w:szCs w:val="19"/>
              </w:rPr>
              <w:t xml:space="preserve">F-01</w:t>
            </w:r>
          </w:p>
        </w:tc>
        <w:tc>
          <w:tcPr>
            <w:tcW w:type="dxa" w:w="1500"/>
            <w:tcMar>
              <w:top w:type="dxa" w:w="80"/>
              <w:left w:type="dxa" w:w="100"/>
              <w:bottom w:type="dxa" w:w="80"/>
              <w:right w:type="dxa" w:w="100"/>
            </w:tcMar>
            <w:vAlign w:val="center"/>
          </w:tcPr>
          <w:p>
            <w:r>
              <w:rPr>
                <w:b w:val="false"/>
                <w:bCs w:val="false"/>
                <w:sz w:val="19"/>
                <w:szCs w:val="19"/>
              </w:rPr>
              <w:t xml:space="preserve">Repo root still contains a space</w:t>
            </w:r>
          </w:p>
        </w:tc>
        <w:tc>
          <w:tcPr>
            <w:tcW w:type="dxa" w:w="2950"/>
            <w:tcMar>
              <w:top w:type="dxa" w:w="80"/>
              <w:left w:type="dxa" w:w="100"/>
              <w:bottom w:type="dxa" w:w="80"/>
              <w:right w:type="dxa" w:w="100"/>
            </w:tcMar>
            <w:vAlign w:val="center"/>
          </w:tcPr>
          <w:p>
            <w:r>
              <w:rPr>
                <w:b w:val="false"/>
                <w:bCs w:val="false"/>
                <w:sz w:val="19"/>
                <w:szCs w:val="19"/>
              </w:rPr>
              <w:t xml:space="preserve">The `shorts_engine/` package itself is space-free, but the outer repository root shown in the structure (`d:/Projects/YT AUTOMATION/`) is unchanged — this is the actual build context for Docker and local tooling.</w:t>
            </w:r>
          </w:p>
        </w:tc>
        <w:tc>
          <w:tcPr>
            <w:tcW w:type="dxa" w:w="2350"/>
            <w:tcMar>
              <w:top w:type="dxa" w:w="80"/>
              <w:left w:type="dxa" w:w="100"/>
              <w:bottom w:type="dxa" w:w="80"/>
              <w:right w:type="dxa" w:w="100"/>
            </w:tcMar>
            <w:vAlign w:val="center"/>
          </w:tcPr>
          <w:p>
            <w:r>
              <w:rPr>
                <w:b w:val="false"/>
                <w:bCs w:val="false"/>
                <w:sz w:val="19"/>
                <w:szCs w:val="19"/>
              </w:rPr>
              <w:t xml:space="preserve">Confirm whether the outer folder will also be renamed, or whether containing the fix to the package name is considered sufficient.</w:t>
            </w:r>
          </w:p>
        </w:tc>
        <w:tc>
          <w:tcPr>
            <w:tcW w:type="dxa" w:w="1476"/>
            <w:tcMar>
              <w:top w:type="dxa" w:w="80"/>
              <w:left w:type="dxa" w:w="100"/>
              <w:bottom w:type="dxa" w:w="80"/>
              <w:right w:type="dxa" w:w="100"/>
            </w:tcMar>
            <w:vAlign w:val="center"/>
          </w:tcPr>
          <w:p>
            <w:r>
              <w:rPr>
                <w:b w:val="false"/>
                <w:bCs w:val="false"/>
                <w:sz w:val="19"/>
                <w:szCs w:val="19"/>
              </w:rPr>
              <w:t xml:space="preserve"/>
            </w:r>
          </w:p>
        </w:tc>
      </w:tr>
      <w:tr>
        <w:tc>
          <w:tcPr>
            <w:tcW w:type="dxa" w:w="750"/>
            <w:tcMar>
              <w:top w:type="dxa" w:w="80"/>
              <w:left w:type="dxa" w:w="100"/>
              <w:bottom w:type="dxa" w:w="80"/>
              <w:right w:type="dxa" w:w="100"/>
            </w:tcMar>
            <w:vAlign w:val="center"/>
          </w:tcPr>
          <w:p>
            <w:r>
              <w:rPr>
                <w:b w:val="false"/>
                <w:bCs w:val="false"/>
                <w:sz w:val="19"/>
                <w:szCs w:val="19"/>
              </w:rPr>
              <w:t xml:space="preserve">F-02</w:t>
            </w:r>
          </w:p>
        </w:tc>
        <w:tc>
          <w:tcPr>
            <w:tcW w:type="dxa" w:w="1500"/>
            <w:tcMar>
              <w:top w:type="dxa" w:w="80"/>
              <w:left w:type="dxa" w:w="100"/>
              <w:bottom w:type="dxa" w:w="80"/>
              <w:right w:type="dxa" w:w="100"/>
            </w:tcMar>
            <w:vAlign w:val="center"/>
          </w:tcPr>
          <w:p>
            <w:r>
              <w:rPr>
                <w:b w:val="false"/>
                <w:bCs w:val="false"/>
                <w:sz w:val="19"/>
                <w:szCs w:val="19"/>
              </w:rPr>
              <w:t xml:space="preserve">Encryption key-derivation details incomplete</w:t>
            </w:r>
          </w:p>
        </w:tc>
        <w:tc>
          <w:tcPr>
            <w:tcW w:type="dxa" w:w="2950"/>
            <w:tcMar>
              <w:top w:type="dxa" w:w="80"/>
              <w:left w:type="dxa" w:w="100"/>
              <w:bottom w:type="dxa" w:w="80"/>
              <w:right w:type="dxa" w:w="100"/>
            </w:tcMar>
            <w:vAlign w:val="center"/>
          </w:tcPr>
          <w:p>
            <w:r>
              <w:rPr>
                <w:b w:val="false"/>
                <w:bCs w:val="false"/>
                <w:sz w:val="19"/>
                <w:szCs w:val="19"/>
              </w:rPr>
              <w:t xml:space="preserve">The AES-256-GCM design (PBKDF2-HMAC-SHA256 from MASTER_ENCRYPTION_KEY) doesn't specify how the salt is generated/stored, what iteration count is used, or how the key would be rotated if compromised.</w:t>
            </w:r>
          </w:p>
        </w:tc>
        <w:tc>
          <w:tcPr>
            <w:tcW w:type="dxa" w:w="2350"/>
            <w:tcMar>
              <w:top w:type="dxa" w:w="80"/>
              <w:left w:type="dxa" w:w="100"/>
              <w:bottom w:type="dxa" w:w="80"/>
              <w:right w:type="dxa" w:w="100"/>
            </w:tcMar>
            <w:vAlign w:val="center"/>
          </w:tcPr>
          <w:p>
            <w:r>
              <w:rPr>
                <w:b w:val="false"/>
                <w:bCs w:val="false"/>
                <w:sz w:val="19"/>
                <w:szCs w:val="19"/>
              </w:rPr>
              <w:t xml:space="preserve">Specify a unique stored salt and a current-standard iteration count; add a rotation process to the operations runbook (not needed before launch).</w:t>
            </w:r>
          </w:p>
        </w:tc>
        <w:tc>
          <w:tcPr>
            <w:tcW w:type="dxa" w:w="1476"/>
            <w:tcMar>
              <w:top w:type="dxa" w:w="80"/>
              <w:left w:type="dxa" w:w="100"/>
              <w:bottom w:type="dxa" w:w="80"/>
              <w:right w:type="dxa" w:w="100"/>
            </w:tcMar>
            <w:vAlign w:val="center"/>
          </w:tcPr>
          <w:p>
            <w:r>
              <w:rPr>
                <w:b w:val="false"/>
                <w:bCs w:val="false"/>
                <w:sz w:val="19"/>
                <w:szCs w:val="19"/>
              </w:rPr>
              <w:t xml:space="preserve"/>
            </w:r>
          </w:p>
        </w:tc>
      </w:tr>
      <w:tr>
        <w:tc>
          <w:tcPr>
            <w:tcW w:type="dxa" w:w="750"/>
            <w:tcMar>
              <w:top w:type="dxa" w:w="80"/>
              <w:left w:type="dxa" w:w="100"/>
              <w:bottom w:type="dxa" w:w="80"/>
              <w:right w:type="dxa" w:w="100"/>
            </w:tcMar>
            <w:vAlign w:val="center"/>
          </w:tcPr>
          <w:p>
            <w:r>
              <w:rPr>
                <w:b w:val="false"/>
                <w:bCs w:val="false"/>
                <w:sz w:val="19"/>
                <w:szCs w:val="19"/>
              </w:rPr>
              <w:t xml:space="preserve">F-03</w:t>
            </w:r>
          </w:p>
        </w:tc>
        <w:tc>
          <w:tcPr>
            <w:tcW w:type="dxa" w:w="1500"/>
            <w:tcMar>
              <w:top w:type="dxa" w:w="80"/>
              <w:left w:type="dxa" w:w="100"/>
              <w:bottom w:type="dxa" w:w="80"/>
              <w:right w:type="dxa" w:w="100"/>
            </w:tcMar>
            <w:vAlign w:val="center"/>
          </w:tcPr>
          <w:p>
            <w:r>
              <w:rPr>
                <w:b w:val="false"/>
                <w:bCs w:val="false"/>
                <w:sz w:val="19"/>
                <w:szCs w:val="19"/>
              </w:rPr>
              <w:t xml:space="preserve">Segment-count upper bound not enforced in code</w:t>
            </w:r>
          </w:p>
        </w:tc>
        <w:tc>
          <w:tcPr>
            <w:tcW w:type="dxa" w:w="2950"/>
            <w:tcMar>
              <w:top w:type="dxa" w:w="80"/>
              <w:left w:type="dxa" w:w="100"/>
              <w:bottom w:type="dxa" w:w="80"/>
              <w:right w:type="dxa" w:w="100"/>
            </w:tcMar>
            <w:vAlign w:val="center"/>
          </w:tcPr>
          <w:p>
            <w:r>
              <w:rPr>
                <w:b w:val="false"/>
                <w:bCs w:val="false"/>
                <w:sz w:val="19"/>
                <w:szCs w:val="19"/>
              </w:rPr>
              <w:t xml:space="preserve">MAX_SEGMENTS_PER_VIDEO is commented “configurable up to 8,” but the shown Pydantic field has no upper-bound validation (le=8).</w:t>
            </w:r>
          </w:p>
        </w:tc>
        <w:tc>
          <w:tcPr>
            <w:tcW w:type="dxa" w:w="2350"/>
            <w:tcMar>
              <w:top w:type="dxa" w:w="80"/>
              <w:left w:type="dxa" w:w="100"/>
              <w:bottom w:type="dxa" w:w="80"/>
              <w:right w:type="dxa" w:w="100"/>
            </w:tcMar>
            <w:vAlign w:val="center"/>
          </w:tcPr>
          <w:p>
            <w:r>
              <w:rPr>
                <w:b w:val="false"/>
                <w:bCs w:val="false"/>
                <w:sz w:val="19"/>
                <w:szCs w:val="19"/>
              </w:rPr>
              <w:t xml:space="preserve">Add the constraint so the code matches the comment.</w:t>
            </w:r>
          </w:p>
        </w:tc>
        <w:tc>
          <w:tcPr>
            <w:tcW w:type="dxa" w:w="1476"/>
            <w:tcMar>
              <w:top w:type="dxa" w:w="80"/>
              <w:left w:type="dxa" w:w="100"/>
              <w:bottom w:type="dxa" w:w="80"/>
              <w:right w:type="dxa" w:w="100"/>
            </w:tcMar>
            <w:vAlign w:val="center"/>
          </w:tcPr>
          <w:p>
            <w:r>
              <w:rPr>
                <w:b w:val="false"/>
                <w:bCs w:val="false"/>
                <w:sz w:val="19"/>
                <w:szCs w:val="19"/>
              </w:rPr>
              <w:t xml:space="preserve"/>
            </w:r>
          </w:p>
        </w:tc>
      </w:tr>
      <w:tr>
        <w:tc>
          <w:tcPr>
            <w:tcW w:type="dxa" w:w="750"/>
            <w:tcMar>
              <w:top w:type="dxa" w:w="80"/>
              <w:left w:type="dxa" w:w="100"/>
              <w:bottom w:type="dxa" w:w="80"/>
              <w:right w:type="dxa" w:w="100"/>
            </w:tcMar>
            <w:vAlign w:val="center"/>
          </w:tcPr>
          <w:p>
            <w:r>
              <w:rPr>
                <w:b w:val="false"/>
                <w:bCs w:val="false"/>
                <w:sz w:val="19"/>
                <w:szCs w:val="19"/>
              </w:rPr>
              <w:t xml:space="preserve">F-04</w:t>
            </w:r>
          </w:p>
        </w:tc>
        <w:tc>
          <w:tcPr>
            <w:tcW w:type="dxa" w:w="1500"/>
            <w:tcMar>
              <w:top w:type="dxa" w:w="80"/>
              <w:left w:type="dxa" w:w="100"/>
              <w:bottom w:type="dxa" w:w="80"/>
              <w:right w:type="dxa" w:w="100"/>
            </w:tcMar>
            <w:vAlign w:val="center"/>
          </w:tcPr>
          <w:p>
            <w:r>
              <w:rPr>
                <w:b w:val="false"/>
                <w:bCs w:val="false"/>
                <w:sz w:val="19"/>
                <w:szCs w:val="19"/>
              </w:rPr>
              <w:t xml:space="preserve">CD triggers before target environments exist</w:t>
            </w:r>
          </w:p>
        </w:tc>
        <w:tc>
          <w:tcPr>
            <w:tcW w:type="dxa" w:w="2950"/>
            <w:tcMar>
              <w:top w:type="dxa" w:w="80"/>
              <w:left w:type="dxa" w:w="100"/>
              <w:bottom w:type="dxa" w:w="80"/>
              <w:right w:type="dxa" w:w="100"/>
            </w:tcMar>
            <w:vAlign w:val="center"/>
          </w:tcPr>
          <w:p>
            <w:r>
              <w:rPr>
                <w:b w:val="false"/>
                <w:bCs w:val="false"/>
                <w:sz w:val="19"/>
                <w:szCs w:val="19"/>
              </w:rPr>
              <w:t xml:space="preserve">The CD workflow is defined starting Milestone 1, but the staging/production environments it deploys to aren't built until Milestone 3.</w:t>
            </w:r>
          </w:p>
        </w:tc>
        <w:tc>
          <w:tcPr>
            <w:tcW w:type="dxa" w:w="2350"/>
            <w:tcMar>
              <w:top w:type="dxa" w:w="80"/>
              <w:left w:type="dxa" w:w="100"/>
              <w:bottom w:type="dxa" w:w="80"/>
              <w:right w:type="dxa" w:w="100"/>
            </w:tcMar>
            <w:vAlign w:val="center"/>
          </w:tcPr>
          <w:p>
            <w:r>
              <w:rPr>
                <w:b w:val="false"/>
                <w:bCs w:val="false"/>
                <w:sz w:val="19"/>
                <w:szCs w:val="19"/>
              </w:rPr>
              <w:t xml:space="preserve">Confirm the CD stage is gated off or no-ops safely during Milestones 1–2 rather than failing on every push to main.</w:t>
            </w:r>
          </w:p>
        </w:tc>
        <w:tc>
          <w:tcPr>
            <w:tcW w:type="dxa" w:w="1476"/>
            <w:tcMar>
              <w:top w:type="dxa" w:w="80"/>
              <w:left w:type="dxa" w:w="100"/>
              <w:bottom w:type="dxa" w:w="80"/>
              <w:right w:type="dxa" w:w="100"/>
            </w:tcMar>
            <w:vAlign w:val="center"/>
          </w:tcPr>
          <w:p>
            <w:r>
              <w:rPr>
                <w:b w:val="false"/>
                <w:bCs w:val="false"/>
                <w:sz w:val="19"/>
                <w:szCs w:val="19"/>
              </w:rPr>
              <w:t xml:space="preserve"/>
            </w:r>
          </w:p>
        </w:tc>
      </w:tr>
    </w:tbl>
    <w:p>
      <w:pPr>
        <w:pStyle w:val="Heading1"/>
        <w:spacing w:after="180" w:before="360"/>
      </w:pPr>
      <w:r>
        <w:t xml:space="preserve">Recommendation</w:t>
      </w:r>
    </w:p>
    <w:p>
      <w:pPr>
        <w:spacing w:after="160" w:line="300"/>
      </w:pPr>
      <w:r>
        <w:rPr>
          <w:b w:val="false"/>
          <w:bCs w:val="false"/>
          <w:i w:val="false"/>
          <w:iCs w:val="false"/>
        </w:rPr>
        <w:t xml:space="preserve">This plan is ready to move forward. The follow-ups above are the kind of detail normally closed out in a kickoff call or the first sprint rather than requiring further written sign-off.</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b/>
      <w:bCs/>
      <w:color w:val="1F3864"/>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2026-09-10T06:46:36.406Z</dcterms:created>
  <dcterms:modified xsi:type="dcterms:W3CDTF">2026-09-10T06:46:36.424Z</dcterms:modified>
</cp:coreProperties>
</file>

<file path=docProps/custom.xml><?xml version="1.0" encoding="utf-8"?>
<Properties xmlns="http://schemas.openxmlformats.org/officeDocument/2006/custom-properties" xmlns:vt="http://schemas.openxmlformats.org/officeDocument/2006/docPropsVTypes"/>
</file>