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8"/>
        </w:rPr>
        <w:t>CNBE-32: Chinese Native Binary Encoding</w:t>
      </w:r>
    </w:p>
    <w:p>
      <w:r>
        <w:rPr>
          <w:rFonts w:ascii="Arial" w:hAnsi="Arial"/>
          <w:b/>
          <w:sz w:val="28"/>
        </w:rPr>
        <w:t>Technical White Paper v3.0</w:t>
      </w:r>
    </w:p>
    <w:p>
      <w:r>
        <w:rPr>
          <w:rFonts w:ascii="Arial" w:hAnsi="Arial"/>
          <w:sz w:val="20"/>
        </w:rPr>
        <w:t>A Structured Representation of 97,686 Chinese Characters for AI Systems and Hardware Acceleration</w:t>
      </w:r>
    </w:p>
    <w:p>
      <w:r>
        <w:rPr>
          <w:rFonts w:ascii="Arial" w:hAnsi="Arial"/>
          <w:sz w:val="20"/>
        </w:rPr>
        <w:t>July 2, 2026 | 97,686 CJK Characters | 11 Experiments | RISC-V Extension</w:t>
      </w:r>
    </w:p>
    <w:p>
      <w:r>
        <w:br w:type="page"/>
      </w:r>
    </w:p>
    <w:p>
      <w:pPr>
        <w:pStyle w:val="Heading1"/>
      </w:pPr>
      <w:r>
        <w:rPr>
          <w:rFonts w:ascii="Arial" w:hAnsi="Arial"/>
        </w:rPr>
        <w:t>1. Executive Summary</w:t>
      </w:r>
    </w:p>
    <w:p>
      <w:r>
        <w:rPr>
          <w:rFonts w:ascii="Arial" w:hAnsi="Arial"/>
          <w:sz w:val="20"/>
        </w:rPr>
        <w:t>CNBE-32 (Chinese Native Binary Encoding, 32-bit) is a novel encoding system that converts Chinese characters into 32-bit binary codes where each bit-field directly represents a structural property of the character. Unlike traditional encodings (ASCII, Unicode, GBK) which treat characters as arbitrary identifiers, CNBE-32 embeds linguistic knowledge directly into the code itself.</w:t>
      </w:r>
    </w:p>
    <w:p>
      <w:r>
        <w:rPr>
          <w:rFonts w:ascii="Arial" w:hAnsi="Arial"/>
          <w:sz w:val="20"/>
        </w:rPr>
      </w:r>
    </w:p>
    <w:p>
      <w:r>
        <w:rPr>
          <w:rFonts w:ascii="Arial" w:hAnsi="Arial"/>
          <w:sz w:val="20"/>
        </w:rPr>
        <w:t>Key achievements:</w:t>
      </w:r>
    </w:p>
    <w:p>
      <w:r>
        <w:rPr>
          <w:rFonts w:ascii="Arial" w:hAnsi="Arial"/>
          <w:sz w:val="20"/>
        </w:rPr>
        <w:t>1. Zero collisions: All 97,686 CJK characters have unique 32-bit codes (verified)</w:t>
      </w:r>
    </w:p>
    <w:p>
      <w:r>
        <w:rPr>
          <w:rFonts w:ascii="Arial" w:hAnsi="Arial"/>
          <w:sz w:val="20"/>
        </w:rPr>
        <w:t>2. Structural AI priors: 99.94% radical accuracy vs 5.92% baseline (without pre-training)</w:t>
      </w:r>
    </w:p>
    <w:p>
      <w:r>
        <w:rPr>
          <w:rFonts w:ascii="Arial" w:hAnsi="Arial"/>
          <w:sz w:val="20"/>
        </w:rPr>
        <w:t>3. Hardware acceleration: 5 RISC-V custom instructions for CNBE processing</w:t>
      </w:r>
    </w:p>
    <w:p>
      <w:r>
        <w:rPr>
          <w:rFonts w:ascii="Arial" w:hAnsi="Arial"/>
          <w:sz w:val="20"/>
        </w:rPr>
        <w:t>4. CJK completeness: Covers 10 Unicode blocks, all 214 Kangxi radicals</w:t>
      </w:r>
    </w:p>
    <w:p>
      <w:r>
        <w:rPr>
          <w:rFonts w:ascii="Arial" w:hAnsi="Arial"/>
          <w:sz w:val="20"/>
        </w:rPr>
        <w:t>5. Confusable resolution: Strategy B index allocation resolves 3 critical confusable pairs (?/?, ?/?, ?/?) that previously had zero encoding distance</w:t>
      </w:r>
    </w:p>
    <w:p>
      <w:r>
        <w:rPr>
          <w:rFonts w:ascii="Arial" w:hAnsi="Arial"/>
          <w:sz w:val="20"/>
        </w:rPr>
        <w:t>6. 11 experiments validated across classification, prediction, correlation, and practical business scenarios</w:t>
      </w:r>
    </w:p>
    <w:p>
      <w:r>
        <w:rPr>
          <w:rFonts w:ascii="Arial" w:hAnsi="Arial"/>
          <w:sz w:val="20"/>
        </w:rPr>
        <w:t>License: Mulan Public License v2 (??????? v2)</w:t>
      </w:r>
    </w:p>
    <w:p>
      <w:r>
        <w:br w:type="page"/>
      </w:r>
    </w:p>
    <w:p>
      <w:pPr>
        <w:pStyle w:val="Heading1"/>
      </w:pPr>
      <w:r>
        <w:rPr>
          <w:rFonts w:ascii="Arial" w:hAnsi="Arial"/>
        </w:rPr>
        <w:t>2. Project Purpose and Motivation</w:t>
      </w:r>
    </w:p>
    <w:p>
      <w:r>
        <w:rPr>
          <w:rFonts w:ascii="Arial" w:hAnsi="Arial"/>
          <w:sz w:val="20"/>
        </w:rPr>
        <w:t>2.1 The Problem with Current Character Encoding</w:t>
      </w:r>
    </w:p>
    <w:p>
      <w:r>
        <w:rPr>
          <w:rFonts w:ascii="Arial" w:hAnsi="Arial"/>
          <w:sz w:val="20"/>
        </w:rPr>
        <w:t>Current text encoding systems (ASCII, Unicode) were designed for uniquely identifying characters for storage and transmission. They treat each character as a meaningless numeric ID. For Chinese characters with complex internal structure, this creates three fundamental problems for AI systems.</w:t>
      </w:r>
    </w:p>
    <w:p>
      <w:r>
        <w:rPr>
          <w:rFonts w:ascii="Arial" w:hAnsi="Arial"/>
          <w:sz w:val="20"/>
        </w:rPr>
      </w:r>
    </w:p>
    <w:p>
      <w:r>
        <w:rPr>
          <w:rFonts w:ascii="Arial" w:hAnsi="Arial"/>
          <w:sz w:val="20"/>
        </w:rPr>
        <w:t>2.2 The Three Key Problems</w:t>
      </w:r>
    </w:p>
    <w:p>
      <w:r>
        <w:rPr>
          <w:rFonts w:ascii="Arial" w:hAnsi="Arial"/>
          <w:sz w:val="20"/>
        </w:rPr>
        <w:t>Problem 1 - Data Hunger: Traditional embedding methods need enormous datasets to learn that characters sharing the same radical (such as ? and ?, both containing wood radical ?) are semantically related. CNBE-32 encodes this relationship directly in the bit structure.</w:t>
      </w:r>
    </w:p>
    <w:p>
      <w:r>
        <w:rPr>
          <w:rFonts w:ascii="Arial" w:hAnsi="Arial"/>
          <w:sz w:val="20"/>
        </w:rPr>
        <w:t>Problem 2 - Confusion Vulnerability: Visually similar characters (?/?, ?/?) differ by subtle stroke shapes invisible to traditional encodings. CNBE-32 addresses this through its multi-field structure.</w:t>
      </w:r>
    </w:p>
    <w:p>
      <w:r>
        <w:rPr>
          <w:rFonts w:ascii="Arial" w:hAnsi="Arial"/>
          <w:sz w:val="20"/>
        </w:rPr>
        <w:t>Problem 3 - Non-transferability: In large language models, character structure knowledge is locked in billions of parameters. CNBE-32 makes this knowledge explicit and reusable across all AI tasks.</w:t>
      </w:r>
    </w:p>
    <w:p>
      <w:r>
        <w:rPr>
          <w:rFonts w:ascii="Arial" w:hAnsi="Arial"/>
          <w:sz w:val="20"/>
        </w:rPr>
      </w:r>
    </w:p>
    <w:p>
      <w:r>
        <w:rPr>
          <w:rFonts w:ascii="Arial" w:hAnsi="Arial"/>
          <w:sz w:val="20"/>
        </w:rPr>
        <w:t>2.3 The CNBE-32 Solution</w:t>
      </w:r>
    </w:p>
    <w:p>
      <w:r>
        <w:rPr>
          <w:rFonts w:ascii="Arial" w:hAnsi="Arial"/>
          <w:sz w:val="20"/>
        </w:rPr>
        <w:t>CNBE-32 embeds Chinese character structural knowledge directly into the encoding itself. The 32-bit code is divided into five bit-fields, each carrying a specific type of structural information. This allows AI models to access character structure without learning, and enables hardware acceleration through custom RISC-V instructions.</w:t>
      </w:r>
    </w:p>
    <w:p>
      <w:r>
        <w:br w:type="page"/>
      </w:r>
    </w:p>
    <w:p>
      <w:pPr>
        <w:pStyle w:val="Heading1"/>
      </w:pPr>
      <w:r>
        <w:rPr>
          <w:rFonts w:ascii="Arial" w:hAnsi="Arial"/>
        </w:rPr>
        <w:t>3. Encoding Technology</w:t>
      </w:r>
    </w:p>
    <w:p>
      <w:r>
        <w:rPr>
          <w:rFonts w:ascii="Arial" w:hAnsi="Arial"/>
          <w:sz w:val="20"/>
        </w:rPr>
        <w:t>3.1 32-Bit Bit-Field Design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Field</w:t>
            </w:r>
          </w:p>
        </w:tc>
        <w:tc>
          <w:tcPr>
            <w:tcW w:type="dxa" w:w="1728"/>
          </w:tcPr>
          <w:p>
            <w:r>
              <w:t>Bits</w:t>
            </w:r>
          </w:p>
        </w:tc>
        <w:tc>
          <w:tcPr>
            <w:tcW w:type="dxa" w:w="1728"/>
          </w:tcPr>
          <w:p>
            <w:r>
              <w:t>Position</w:t>
            </w:r>
          </w:p>
        </w:tc>
        <w:tc>
          <w:tcPr>
            <w:tcW w:type="dxa" w:w="1728"/>
          </w:tcPr>
          <w:p>
            <w:r>
              <w:t>Range</w:t>
            </w:r>
          </w:p>
        </w:tc>
        <w:tc>
          <w:tcPr>
            <w:tcW w:type="dxa" w:w="1728"/>
          </w:tcPr>
          <w:p>
            <w:r>
              <w:t>Description</w:t>
            </w:r>
          </w:p>
        </w:tc>
      </w:tr>
      <w:tr>
        <w:tc>
          <w:tcPr>
            <w:tcW w:type="dxa" w:w="1728"/>
          </w:tcPr>
          <w:p>
            <w:r>
              <w:t>Radical/??</w:t>
            </w:r>
          </w:p>
        </w:tc>
        <w:tc>
          <w:tcPr>
            <w:tcW w:type="dxa" w:w="1728"/>
          </w:tcPr>
          <w:p>
            <w:r>
              <w:t>8</w:t>
            </w:r>
          </w:p>
        </w:tc>
        <w:tc>
          <w:tcPr>
            <w:tcW w:type="dxa" w:w="1728"/>
          </w:tcPr>
          <w:p>
            <w:r>
              <w:t>31:24</w:t>
            </w:r>
          </w:p>
        </w:tc>
        <w:tc>
          <w:tcPr>
            <w:tcW w:type="dxa" w:w="1728"/>
          </w:tcPr>
          <w:p>
            <w:r>
              <w:t>0-255</w:t>
            </w:r>
          </w:p>
        </w:tc>
        <w:tc>
          <w:tcPr>
            <w:tcW w:type="dxa" w:w="1728"/>
          </w:tcPr>
          <w:p>
            <w:r>
              <w:t>214 Kangxi radicals + 1 other</w:t>
            </w:r>
          </w:p>
        </w:tc>
      </w:tr>
      <w:tr>
        <w:tc>
          <w:tcPr>
            <w:tcW w:type="dxa" w:w="1728"/>
          </w:tcPr>
          <w:p>
            <w:r>
              <w:t>Stroke/??</w:t>
            </w:r>
          </w:p>
        </w:tc>
        <w:tc>
          <w:tcPr>
            <w:tcW w:type="dxa" w:w="1728"/>
          </w:tcPr>
          <w:p>
            <w:r>
              <w:t>5</w:t>
            </w:r>
          </w:p>
        </w:tc>
        <w:tc>
          <w:tcPr>
            <w:tcW w:type="dxa" w:w="1728"/>
          </w:tcPr>
          <w:p>
            <w:r>
              <w:t>23:19</w:t>
            </w:r>
          </w:p>
        </w:tc>
        <w:tc>
          <w:tcPr>
            <w:tcW w:type="dxa" w:w="1728"/>
          </w:tcPr>
          <w:p>
            <w:r>
              <w:t>0-31</w:t>
            </w:r>
          </w:p>
        </w:tc>
        <w:tc>
          <w:tcPr>
            <w:tcW w:type="dxa" w:w="1728"/>
          </w:tcPr>
          <w:p>
            <w:r>
              <w:t>Stroke count 1-31</w:t>
            </w:r>
          </w:p>
        </w:tc>
      </w:tr>
      <w:tr>
        <w:tc>
          <w:tcPr>
            <w:tcW w:type="dxa" w:w="1728"/>
          </w:tcPr>
          <w:p>
            <w:r>
              <w:t>Structure/??</w:t>
            </w:r>
          </w:p>
        </w:tc>
        <w:tc>
          <w:tcPr>
            <w:tcW w:type="dxa" w:w="1728"/>
          </w:tcPr>
          <w:p>
            <w:r>
              <w:t>4</w:t>
            </w:r>
          </w:p>
        </w:tc>
        <w:tc>
          <w:tcPr>
            <w:tcW w:type="dxa" w:w="1728"/>
          </w:tcPr>
          <w:p>
            <w:r>
              <w:t>18:15</w:t>
            </w:r>
          </w:p>
        </w:tc>
        <w:tc>
          <w:tcPr>
            <w:tcW w:type="dxa" w:w="1728"/>
          </w:tcPr>
          <w:p>
            <w:r>
              <w:t>0-15</w:t>
            </w:r>
          </w:p>
        </w:tc>
        <w:tc>
          <w:tcPr>
            <w:tcW w:type="dxa" w:w="1728"/>
          </w:tcPr>
          <w:p>
            <w:r>
              <w:t>Structure type (9 types)</w:t>
            </w:r>
          </w:p>
        </w:tc>
      </w:tr>
      <w:tr>
        <w:tc>
          <w:tcPr>
            <w:tcW w:type="dxa" w:w="1728"/>
          </w:tcPr>
          <w:p>
            <w:r>
              <w:t>Index/??</w:t>
            </w:r>
          </w:p>
        </w:tc>
        <w:tc>
          <w:tcPr>
            <w:tcW w:type="dxa" w:w="1728"/>
          </w:tcPr>
          <w:p>
            <w:r>
              <w:t>11</w:t>
            </w:r>
          </w:p>
        </w:tc>
        <w:tc>
          <w:tcPr>
            <w:tcW w:type="dxa" w:w="1728"/>
          </w:tcPr>
          <w:p>
            <w:r>
              <w:t>14:4</w:t>
            </w:r>
          </w:p>
        </w:tc>
        <w:tc>
          <w:tcPr>
            <w:tcW w:type="dxa" w:w="1728"/>
          </w:tcPr>
          <w:p>
            <w:r>
              <w:t>0-2047</w:t>
            </w:r>
          </w:p>
        </w:tc>
        <w:tc>
          <w:tcPr>
            <w:tcW w:type="dxa" w:w="1728"/>
          </w:tcPr>
          <w:p>
            <w:r>
              <w:t>Group unique ID (Strategy B)</w:t>
            </w:r>
          </w:p>
        </w:tc>
      </w:tr>
      <w:tr>
        <w:tc>
          <w:tcPr>
            <w:tcW w:type="dxa" w:w="1728"/>
          </w:tcPr>
          <w:p>
            <w:r>
              <w:t>Extension/??</w:t>
            </w:r>
          </w:p>
        </w:tc>
        <w:tc>
          <w:tcPr>
            <w:tcW w:type="dxa" w:w="1728"/>
          </w:tcPr>
          <w:p>
            <w:r>
              <w:t>4</w:t>
            </w:r>
          </w:p>
        </w:tc>
        <w:tc>
          <w:tcPr>
            <w:tcW w:type="dxa" w:w="1728"/>
          </w:tcPr>
          <w:p>
            <w:r>
              <w:t>3:0</w:t>
            </w:r>
          </w:p>
        </w:tc>
        <w:tc>
          <w:tcPr>
            <w:tcW w:type="dxa" w:w="1728"/>
          </w:tcPr>
          <w:p>
            <w:r>
              <w:t>0-15</w:t>
            </w:r>
          </w:p>
        </w:tc>
        <w:tc>
          <w:tcPr>
            <w:tcW w:type="dxa" w:w="1728"/>
          </w:tcPr>
          <w:p>
            <w:r>
              <w:t>Overflow + future use</w:t>
            </w:r>
          </w:p>
        </w:tc>
      </w:tr>
    </w:tbl>
    <w:p>
      <w:r>
        <w:rPr>
          <w:rFonts w:ascii="Arial" w:hAnsi="Arial"/>
          <w:sz w:val="20"/>
        </w:rPr>
        <w:t>3.2 CJK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Block</w:t>
            </w:r>
          </w:p>
        </w:tc>
        <w:tc>
          <w:tcPr>
            <w:tcW w:type="dxa" w:w="2880"/>
          </w:tcPr>
          <w:p>
            <w:r>
              <w:t>Chars</w:t>
            </w:r>
          </w:p>
        </w:tc>
        <w:tc>
          <w:tcPr>
            <w:tcW w:type="dxa" w:w="2880"/>
          </w:tcPr>
          <w:p>
            <w:r>
              <w:t>Coverage</w:t>
            </w:r>
          </w:p>
        </w:tc>
      </w:tr>
      <w:tr>
        <w:tc>
          <w:tcPr>
            <w:tcW w:type="dxa" w:w="2880"/>
          </w:tcPr>
          <w:p>
            <w:r>
              <w:t>CJK Basic</w:t>
            </w:r>
          </w:p>
        </w:tc>
        <w:tc>
          <w:tcPr>
            <w:tcW w:type="dxa" w:w="2880"/>
          </w:tcPr>
          <w:p>
            <w:r>
              <w:t>20,992</w:t>
            </w:r>
          </w:p>
        </w:tc>
        <w:tc>
          <w:tcPr>
            <w:tcW w:type="dxa" w:w="2880"/>
          </w:tcPr>
          <w:p>
            <w:r>
              <w:t>21.5%</w:t>
            </w:r>
          </w:p>
        </w:tc>
      </w:tr>
      <w:tr>
        <w:tc>
          <w:tcPr>
            <w:tcW w:type="dxa" w:w="2880"/>
          </w:tcPr>
          <w:p>
            <w:r>
              <w:t>Ext A</w:t>
            </w:r>
          </w:p>
        </w:tc>
        <w:tc>
          <w:tcPr>
            <w:tcW w:type="dxa" w:w="2880"/>
          </w:tcPr>
          <w:p>
            <w:r>
              <w:t>6,592</w:t>
            </w:r>
          </w:p>
        </w:tc>
        <w:tc>
          <w:tcPr>
            <w:tcW w:type="dxa" w:w="2880"/>
          </w:tcPr>
          <w:p>
            <w:r>
              <w:t>6.7%</w:t>
            </w:r>
          </w:p>
        </w:tc>
      </w:tr>
      <w:tr>
        <w:tc>
          <w:tcPr>
            <w:tcW w:type="dxa" w:w="2880"/>
          </w:tcPr>
          <w:p>
            <w:r>
              <w:t>Ext B</w:t>
            </w:r>
          </w:p>
        </w:tc>
        <w:tc>
          <w:tcPr>
            <w:tcW w:type="dxa" w:w="2880"/>
          </w:tcPr>
          <w:p>
            <w:r>
              <w:t>42,720</w:t>
            </w:r>
          </w:p>
        </w:tc>
        <w:tc>
          <w:tcPr>
            <w:tcW w:type="dxa" w:w="2880"/>
          </w:tcPr>
          <w:p>
            <w:r>
              <w:t>43.7%</w:t>
            </w:r>
          </w:p>
        </w:tc>
      </w:tr>
      <w:tr>
        <w:tc>
          <w:tcPr>
            <w:tcW w:type="dxa" w:w="2880"/>
          </w:tcPr>
          <w:p>
            <w:r>
              <w:t>Ext C-F</w:t>
            </w:r>
          </w:p>
        </w:tc>
        <w:tc>
          <w:tcPr>
            <w:tcW w:type="dxa" w:w="2880"/>
          </w:tcPr>
          <w:p>
            <w:r>
              <w:t>17,629</w:t>
            </w:r>
          </w:p>
        </w:tc>
        <w:tc>
          <w:tcPr>
            <w:tcW w:type="dxa" w:w="2880"/>
          </w:tcPr>
          <w:p>
            <w:r>
              <w:t>18.1%</w:t>
            </w:r>
          </w:p>
        </w:tc>
      </w:tr>
      <w:tr>
        <w:tc>
          <w:tcPr>
            <w:tcW w:type="dxa" w:w="2880"/>
          </w:tcPr>
          <w:p>
            <w:r>
              <w:t>Ext G-I</w:t>
            </w:r>
          </w:p>
        </w:tc>
        <w:tc>
          <w:tcPr>
            <w:tcW w:type="dxa" w:w="2880"/>
          </w:tcPr>
          <w:p>
            <w:r>
              <w:t>9,753</w:t>
            </w:r>
          </w:p>
        </w:tc>
        <w:tc>
          <w:tcPr>
            <w:tcW w:type="dxa" w:w="2880"/>
          </w:tcPr>
          <w:p>
            <w:r>
              <w:t>10.0%</w:t>
            </w:r>
          </w:p>
        </w:tc>
      </w:tr>
    </w:tbl>
    <w:p>
      <w:r>
        <w:rPr>
          <w:rFonts w:ascii="Arial" w:hAnsi="Arial"/>
          <w:sz w:val="20"/>
        </w:rPr>
        <w:t>Verification: Zero collisions, 100% unique codes, 214/214 radicals covered.</w:t>
      </w:r>
    </w:p>
    <w:p>
      <w:r>
        <w:rPr>
          <w:rFonts w:ascii="Arial" w:hAnsi="Arial"/>
          <w:sz w:val="20"/>
        </w:rPr>
        <w:t>3.3 Structure Type Distribution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Name</w:t>
            </w:r>
          </w:p>
        </w:tc>
        <w:tc>
          <w:tcPr>
            <w:tcW w:type="dxa" w:w="2160"/>
          </w:tcPr>
          <w:p>
            <w:r>
              <w:t>Chars</w:t>
            </w:r>
          </w:p>
        </w:tc>
        <w:tc>
          <w:tcPr>
            <w:tcW w:type="dxa" w:w="2160"/>
          </w:tcPr>
          <w:p>
            <w:r>
              <w:t>%</w:t>
            </w:r>
          </w:p>
        </w:tc>
      </w:tr>
      <w:tr>
        <w:tc>
          <w:tcPr>
            <w:tcW w:type="dxa" w:w="2160"/>
          </w:tcPr>
          <w:p>
            <w:r>
              <w:t>0</w:t>
            </w:r>
          </w:p>
        </w:tc>
        <w:tc>
          <w:tcPr>
            <w:tcW w:type="dxa" w:w="2160"/>
          </w:tcPr>
          <w:p>
            <w:r>
              <w:t>Single/??</w:t>
            </w:r>
          </w:p>
        </w:tc>
        <w:tc>
          <w:tcPr>
            <w:tcW w:type="dxa" w:w="2160"/>
          </w:tcPr>
          <w:p>
            <w:r>
              <w:t>871</w:t>
            </w:r>
          </w:p>
        </w:tc>
        <w:tc>
          <w:tcPr>
            <w:tcW w:type="dxa" w:w="2160"/>
          </w:tcPr>
          <w:p>
            <w:r>
              <w:t>0.9%</w:t>
            </w:r>
          </w:p>
        </w:tc>
      </w:tr>
      <w:tr>
        <w:tc>
          <w:tcPr>
            <w:tcW w:type="dxa" w:w="2160"/>
          </w:tcPr>
          <w:p>
            <w:r>
              <w:t>1</w:t>
            </w:r>
          </w:p>
        </w:tc>
        <w:tc>
          <w:tcPr>
            <w:tcW w:type="dxa" w:w="2160"/>
          </w:tcPr>
          <w:p>
            <w:r>
              <w:t>Left-Right/??</w:t>
            </w:r>
          </w:p>
        </w:tc>
        <w:tc>
          <w:tcPr>
            <w:tcW w:type="dxa" w:w="2160"/>
          </w:tcPr>
          <w:p>
            <w:r>
              <w:t>73,565</w:t>
            </w:r>
          </w:p>
        </w:tc>
        <w:tc>
          <w:tcPr>
            <w:tcW w:type="dxa" w:w="2160"/>
          </w:tcPr>
          <w:p>
            <w:r>
              <w:t>75.3%</w:t>
            </w:r>
          </w:p>
        </w:tc>
      </w:tr>
      <w:tr>
        <w:tc>
          <w:tcPr>
            <w:tcW w:type="dxa" w:w="2160"/>
          </w:tcPr>
          <w:p>
            <w:r>
              <w:t>3</w:t>
            </w:r>
          </w:p>
        </w:tc>
        <w:tc>
          <w:tcPr>
            <w:tcW w:type="dxa" w:w="2160"/>
          </w:tcPr>
          <w:p>
            <w:r>
              <w:t>Up-Down/??</w:t>
            </w:r>
          </w:p>
        </w:tc>
        <w:tc>
          <w:tcPr>
            <w:tcW w:type="dxa" w:w="2160"/>
          </w:tcPr>
          <w:p>
            <w:r>
              <w:t>18,630</w:t>
            </w:r>
          </w:p>
        </w:tc>
        <w:tc>
          <w:tcPr>
            <w:tcW w:type="dxa" w:w="2160"/>
          </w:tcPr>
          <w:p>
            <w:r>
              <w:t>19.1%</w:t>
            </w:r>
          </w:p>
        </w:tc>
      </w:tr>
      <w:tr>
        <w:tc>
          <w:tcPr>
            <w:tcW w:type="dxa" w:w="2160"/>
          </w:tcPr>
          <w:p>
            <w:r>
              <w:t>5-10</w:t>
            </w:r>
          </w:p>
        </w:tc>
        <w:tc>
          <w:tcPr>
            <w:tcW w:type="dxa" w:w="2160"/>
          </w:tcPr>
          <w:p>
            <w:r>
              <w:t>Enclosure/??</w:t>
            </w:r>
          </w:p>
        </w:tc>
        <w:tc>
          <w:tcPr>
            <w:tcW w:type="dxa" w:w="2160"/>
          </w:tcPr>
          <w:p>
            <w:r>
              <w:t>4,620</w:t>
            </w:r>
          </w:p>
        </w:tc>
        <w:tc>
          <w:tcPr>
            <w:tcW w:type="dxa" w:w="2160"/>
          </w:tcPr>
          <w:p>
            <w:r>
              <w:t>4.7%</w:t>
            </w:r>
          </w:p>
        </w:tc>
      </w:tr>
    </w:tbl>
    <w:p>
      <w:r>
        <w:rPr>
          <w:rFonts w:ascii="Arial" w:hAnsi="Arial"/>
          <w:sz w:val="20"/>
        </w:rPr>
        <w:t>3.4 Index Allocation Strategy B</w:t>
      </w:r>
    </w:p>
    <w:p>
      <w:r>
        <w:rPr>
          <w:rFonts w:ascii="Arial" w:hAnsi="Arial"/>
          <w:sz w:val="20"/>
        </w:rPr>
        <w:t>Strategy B (v3.0): Within each (radical, stroke, structure) group, characters are sorted by stroke count first, then by Unicode code point. This ensures confusable pairs sharing the same (R,S,T) are spread more widely across the index space, giving non-zero encoding distance.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Strategy</w:t>
            </w:r>
          </w:p>
        </w:tc>
        <w:tc>
          <w:tcPr>
            <w:tcW w:type="dxa" w:w="2880"/>
          </w:tcPr>
          <w:p>
            <w:r>
              <w:t>Sort Order</w:t>
            </w:r>
          </w:p>
        </w:tc>
        <w:tc>
          <w:tcPr>
            <w:tcW w:type="dxa" w:w="2880"/>
          </w:tcPr>
          <w:p>
            <w:r>
              <w:t>Effect</w:t>
            </w:r>
          </w:p>
        </w:tc>
      </w:tr>
      <w:tr>
        <w:tc>
          <w:tcPr>
            <w:tcW w:type="dxa" w:w="2880"/>
          </w:tcPr>
          <w:p>
            <w:r>
              <w:t>A (v2.0)</w:t>
            </w:r>
          </w:p>
        </w:tc>
        <w:tc>
          <w:tcPr>
            <w:tcW w:type="dxa" w:w="2880"/>
          </w:tcPr>
          <w:p>
            <w:r>
              <w:t>Unicode only</w:t>
            </w:r>
          </w:p>
        </w:tc>
        <w:tc>
          <w:tcPr>
            <w:tcW w:type="dxa" w:w="2880"/>
          </w:tcPr>
          <w:p>
            <w:r>
              <w:t>Adjacent codes for confusable pairs</w:t>
            </w:r>
          </w:p>
        </w:tc>
      </w:tr>
      <w:tr>
        <w:tc>
          <w:tcPr>
            <w:tcW w:type="dxa" w:w="2880"/>
          </w:tcPr>
          <w:p>
            <w:r>
              <w:t>B (v3.0)</w:t>
            </w:r>
          </w:p>
        </w:tc>
        <w:tc>
          <w:tcPr>
            <w:tcW w:type="dxa" w:w="2880"/>
          </w:tcPr>
          <w:p>
            <w:r>
              <w:t>Stroke + Unicode</w:t>
            </w:r>
          </w:p>
        </w:tc>
        <w:tc>
          <w:tcPr>
            <w:tcW w:type="dxa" w:w="2880"/>
          </w:tcPr>
          <w:p>
            <w:r>
              <w:t>Confusable pairs spread across index space</w:t>
            </w:r>
          </w:p>
        </w:tc>
      </w:tr>
    </w:tbl>
    <w:p>
      <w:r>
        <w:br w:type="page"/>
      </w:r>
    </w:p>
    <w:p>
      <w:pPr>
        <w:pStyle w:val="Heading1"/>
      </w:pPr>
      <w:r>
        <w:rPr>
          <w:rFonts w:ascii="Arial" w:hAnsi="Arial"/>
        </w:rPr>
        <w:t>4. Experimental Methods</w:t>
      </w:r>
    </w:p>
    <w:p>
      <w:r>
        <w:rPr>
          <w:rFonts w:ascii="Arial" w:hAnsi="Arial"/>
          <w:sz w:val="20"/>
        </w:rPr>
        <w:t>4.1 Four-Layer Experiment Architecture</w:t>
      </w:r>
    </w:p>
    <w:p>
      <w:r>
        <w:rPr>
          <w:rFonts w:ascii="Arial" w:hAnsi="Arial"/>
          <w:sz w:val="20"/>
        </w:rPr>
        <w:t>Layer 1 - Foundation (Exp 1-4): Verify encoding correctness. Layer 2 - Application (Exp A-C): Verify AI task usability. Layer 3 - Enhancement (Exp A_v3-C_v3): Identify and fix weaknesses. Layer 4 - Practical (Exp v4): Real-world business validation.</w:t>
      </w:r>
    </w:p>
    <w:p>
      <w:r>
        <w:rPr>
          <w:rFonts w:ascii="Arial" w:hAnsi="Arial"/>
          <w:sz w:val="20"/>
        </w:rPr>
      </w:r>
    </w:p>
    <w:p>
      <w:r>
        <w:rPr>
          <w:rFonts w:ascii="Arial" w:hAnsi="Arial"/>
          <w:sz w:val="20"/>
        </w:rPr>
        <w:t>4.2 Complete Experiment List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Experiment</w:t>
            </w:r>
          </w:p>
        </w:tc>
        <w:tc>
          <w:tcPr>
            <w:tcW w:type="dxa" w:w="1728"/>
          </w:tcPr>
          <w:p>
            <w:r>
              <w:t>Task</w:t>
            </w:r>
          </w:p>
        </w:tc>
        <w:tc>
          <w:tcPr>
            <w:tcW w:type="dxa" w:w="1728"/>
          </w:tcPr>
          <w:p>
            <w:r>
              <w:t>Model</w:t>
            </w:r>
          </w:p>
        </w:tc>
        <w:tc>
          <w:tcPr>
            <w:tcW w:type="dxa" w:w="1728"/>
          </w:tcPr>
          <w:p>
            <w:r>
              <w:t>Data</w:t>
            </w:r>
          </w:p>
        </w:tc>
      </w:tr>
      <w:tr>
        <w:tc>
          <w:tcPr>
            <w:tcW w:type="dxa" w:w="1728"/>
          </w:tcPr>
          <w:p>
            <w:r>
              <w:t>1</w:t>
            </w:r>
          </w:p>
        </w:tc>
        <w:tc>
          <w:tcPr>
            <w:tcW w:type="dxa" w:w="1728"/>
          </w:tcPr>
          <w:p>
            <w:r>
              <w:t>Radical Classif.</w:t>
            </w:r>
          </w:p>
        </w:tc>
        <w:tc>
          <w:tcPr>
            <w:tcW w:type="dxa" w:w="1728"/>
          </w:tcPr>
          <w:p>
            <w:r>
              <w:t>Classification</w:t>
            </w:r>
          </w:p>
        </w:tc>
        <w:tc>
          <w:tcPr>
            <w:tcW w:type="dxa" w:w="1728"/>
          </w:tcPr>
          <w:p>
            <w:r>
              <w:t>MLP</w:t>
            </w:r>
          </w:p>
        </w:tc>
        <w:tc>
          <w:tcPr>
            <w:tcW w:type="dxa" w:w="1728"/>
          </w:tcPr>
          <w:p>
            <w:r>
              <w:t>8,105</w:t>
            </w:r>
          </w:p>
        </w:tc>
      </w:tr>
      <w:tr>
        <w:tc>
          <w:tcPr>
            <w:tcW w:type="dxa" w:w="1728"/>
          </w:tcPr>
          <w:p>
            <w:r>
              <w:t>2</w:t>
            </w:r>
          </w:p>
        </w:tc>
        <w:tc>
          <w:tcPr>
            <w:tcW w:type="dxa" w:w="1728"/>
          </w:tcPr>
          <w:p>
            <w:r>
              <w:t>Stroke Classif.</w:t>
            </w:r>
          </w:p>
        </w:tc>
        <w:tc>
          <w:tcPr>
            <w:tcW w:type="dxa" w:w="1728"/>
          </w:tcPr>
          <w:p>
            <w:r>
              <w:t>Classification</w:t>
            </w:r>
          </w:p>
        </w:tc>
        <w:tc>
          <w:tcPr>
            <w:tcW w:type="dxa" w:w="1728"/>
          </w:tcPr>
          <w:p>
            <w:r>
              <w:t>MLP</w:t>
            </w:r>
          </w:p>
        </w:tc>
        <w:tc>
          <w:tcPr>
            <w:tcW w:type="dxa" w:w="1728"/>
          </w:tcPr>
          <w:p>
            <w:r>
              <w:t>8,105</w:t>
            </w:r>
          </w:p>
        </w:tc>
      </w:tr>
      <w:tr>
        <w:tc>
          <w:tcPr>
            <w:tcW w:type="dxa" w:w="1728"/>
          </w:tcPr>
          <w:p>
            <w:r>
              <w:t>3</w:t>
            </w:r>
          </w:p>
        </w:tc>
        <w:tc>
          <w:tcPr>
            <w:tcW w:type="dxa" w:w="1728"/>
          </w:tcPr>
          <w:p>
            <w:r>
              <w:t>Code Distance</w:t>
            </w:r>
          </w:p>
        </w:tc>
        <w:tc>
          <w:tcPr>
            <w:tcW w:type="dxa" w:w="1728"/>
          </w:tcPr>
          <w:p>
            <w:r>
              <w:t>Clustering</w:t>
            </w:r>
          </w:p>
        </w:tc>
        <w:tc>
          <w:tcPr>
            <w:tcW w:type="dxa" w:w="1728"/>
          </w:tcPr>
          <w:p>
            <w:r>
              <w:t>Geometric</w:t>
            </w:r>
          </w:p>
        </w:tc>
        <w:tc>
          <w:tcPr>
            <w:tcW w:type="dxa" w:w="1728"/>
          </w:tcPr>
          <w:p>
            <w:r>
              <w:t>97,686</w:t>
            </w:r>
          </w:p>
        </w:tc>
      </w:tr>
      <w:tr>
        <w:tc>
          <w:tcPr>
            <w:tcW w:type="dxa" w:w="1728"/>
          </w:tcPr>
          <w:p>
            <w:r>
              <w:t>4</w:t>
            </w:r>
          </w:p>
        </w:tc>
        <w:tc>
          <w:tcPr>
            <w:tcW w:type="dxa" w:w="1728"/>
          </w:tcPr>
          <w:p>
            <w:r>
              <w:t>t-SNE</w:t>
            </w:r>
          </w:p>
        </w:tc>
        <w:tc>
          <w:tcPr>
            <w:tcW w:type="dxa" w:w="1728"/>
          </w:tcPr>
          <w:p>
            <w:r>
              <w:t>Dim Reduction</w:t>
            </w:r>
          </w:p>
        </w:tc>
        <w:tc>
          <w:tcPr>
            <w:tcW w:type="dxa" w:w="1728"/>
          </w:tcPr>
          <w:p>
            <w:r>
              <w:t>t-SNE</w:t>
            </w:r>
          </w:p>
        </w:tc>
        <w:tc>
          <w:tcPr>
            <w:tcW w:type="dxa" w:w="1728"/>
          </w:tcPr>
          <w:p>
            <w:r>
              <w:t>97,686</w:t>
            </w:r>
          </w:p>
        </w:tc>
      </w:tr>
      <w:tr>
        <w:tc>
          <w:tcPr>
            <w:tcW w:type="dxa" w:w="1728"/>
          </w:tcPr>
          <w:p>
            <w:r>
              <w:t>A</w:t>
            </w:r>
          </w:p>
        </w:tc>
        <w:tc>
          <w:tcPr>
            <w:tcW w:type="dxa" w:w="1728"/>
          </w:tcPr>
          <w:p>
            <w:r>
              <w:t>Semantic Sim.</w:t>
            </w:r>
          </w:p>
        </w:tc>
        <w:tc>
          <w:tcPr>
            <w:tcW w:type="dxa" w:w="1728"/>
          </w:tcPr>
          <w:p>
            <w:r>
              <w:t>Correlation</w:t>
            </w:r>
          </w:p>
        </w:tc>
        <w:tc>
          <w:tcPr>
            <w:tcW w:type="dxa" w:w="1728"/>
          </w:tcPr>
          <w:p>
            <w:r>
              <w:t>Siamese</w:t>
            </w:r>
          </w:p>
        </w:tc>
        <w:tc>
          <w:tcPr>
            <w:tcW w:type="dxa" w:w="1728"/>
          </w:tcPr>
          <w:p>
            <w:r>
              <w:t>6,000 pairs</w:t>
            </w:r>
          </w:p>
        </w:tc>
      </w:tr>
      <w:tr>
        <w:tc>
          <w:tcPr>
            <w:tcW w:type="dxa" w:w="1728"/>
          </w:tcPr>
          <w:p>
            <w:r>
              <w:t>B</w:t>
            </w:r>
          </w:p>
        </w:tc>
        <w:tc>
          <w:tcPr>
            <w:tcW w:type="dxa" w:w="1728"/>
          </w:tcPr>
          <w:p>
            <w:r>
              <w:t>Language Model</w:t>
            </w:r>
          </w:p>
        </w:tc>
        <w:tc>
          <w:tcPr>
            <w:tcW w:type="dxa" w:w="1728"/>
          </w:tcPr>
          <w:p>
            <w:r>
              <w:t>Seq Pred.</w:t>
            </w:r>
          </w:p>
        </w:tc>
        <w:tc>
          <w:tcPr>
            <w:tcW w:type="dxa" w:w="1728"/>
          </w:tcPr>
          <w:p>
            <w:r>
              <w:t>GRU</w:t>
            </w:r>
          </w:p>
        </w:tc>
        <w:tc>
          <w:tcPr>
            <w:tcW w:type="dxa" w:w="1728"/>
          </w:tcPr>
          <w:p>
            <w:r>
              <w:t>32K tok</w:t>
            </w:r>
          </w:p>
        </w:tc>
      </w:tr>
      <w:tr>
        <w:tc>
          <w:tcPr>
            <w:tcW w:type="dxa" w:w="1728"/>
          </w:tcPr>
          <w:p>
            <w:r>
              <w:t>C</w:t>
            </w:r>
          </w:p>
        </w:tc>
        <w:tc>
          <w:tcPr>
            <w:tcW w:type="dxa" w:w="1728"/>
          </w:tcPr>
          <w:p>
            <w:r>
              <w:t>Confusable Det.</w:t>
            </w:r>
          </w:p>
        </w:tc>
        <w:tc>
          <w:tcPr>
            <w:tcW w:type="dxa" w:w="1728"/>
          </w:tcPr>
          <w:p>
            <w:r>
              <w:t>Detection</w:t>
            </w:r>
          </w:p>
        </w:tc>
        <w:tc>
          <w:tcPr>
            <w:tcW w:type="dxa" w:w="1728"/>
          </w:tcPr>
          <w:p>
            <w:r>
              <w:t>BiLSTM</w:t>
            </w:r>
          </w:p>
        </w:tc>
        <w:tc>
          <w:tcPr>
            <w:tcW w:type="dxa" w:w="1728"/>
          </w:tcPr>
          <w:p>
            <w:r>
              <w:t>586K pairs</w:t>
            </w:r>
          </w:p>
        </w:tc>
      </w:tr>
      <w:tr>
        <w:tc>
          <w:tcPr>
            <w:tcW w:type="dxa" w:w="1728"/>
          </w:tcPr>
          <w:p>
            <w:r>
              <w:t>A_v3</w:t>
            </w:r>
          </w:p>
        </w:tc>
        <w:tc>
          <w:tcPr>
            <w:tcW w:type="dxa" w:w="1728"/>
          </w:tcPr>
          <w:p>
            <w:r>
              <w:t>Geometric Sem.</w:t>
            </w:r>
          </w:p>
        </w:tc>
        <w:tc>
          <w:tcPr>
            <w:tcW w:type="dxa" w:w="1728"/>
          </w:tcPr>
          <w:p>
            <w:r>
              <w:t>Correlation</w:t>
            </w:r>
          </w:p>
        </w:tc>
        <w:tc>
          <w:tcPr>
            <w:tcW w:type="dxa" w:w="1728"/>
          </w:tcPr>
          <w:p>
            <w:r>
              <w:t>Weighted</w:t>
            </w:r>
          </w:p>
        </w:tc>
        <w:tc>
          <w:tcPr>
            <w:tcW w:type="dxa" w:w="1728"/>
          </w:tcPr>
          <w:p>
            <w:r>
              <w:t>200 pairs</w:t>
            </w:r>
          </w:p>
        </w:tc>
      </w:tr>
      <w:tr>
        <w:tc>
          <w:tcPr>
            <w:tcW w:type="dxa" w:w="1728"/>
          </w:tcPr>
          <w:p>
            <w:r>
              <w:t>B_v3</w:t>
            </w:r>
          </w:p>
        </w:tc>
        <w:tc>
          <w:tcPr>
            <w:tcW w:type="dxa" w:w="1728"/>
          </w:tcPr>
          <w:p>
            <w:r>
              <w:t>Hybrid LM</w:t>
            </w:r>
          </w:p>
        </w:tc>
        <w:tc>
          <w:tcPr>
            <w:tcW w:type="dxa" w:w="1728"/>
          </w:tcPr>
          <w:p>
            <w:r>
              <w:t>Seq Pred.</w:t>
            </w:r>
          </w:p>
        </w:tc>
        <w:tc>
          <w:tcPr>
            <w:tcW w:type="dxa" w:w="1728"/>
          </w:tcPr>
          <w:p>
            <w:r>
              <w:t>GRU+CNBE</w:t>
            </w:r>
          </w:p>
        </w:tc>
        <w:tc>
          <w:tcPr>
            <w:tcW w:type="dxa" w:w="1728"/>
          </w:tcPr>
          <w:p>
            <w:r>
              <w:t>32K tok</w:t>
            </w:r>
          </w:p>
        </w:tc>
      </w:tr>
      <w:tr>
        <w:tc>
          <w:tcPr>
            <w:tcW w:type="dxa" w:w="1728"/>
          </w:tcPr>
          <w:p>
            <w:r>
              <w:t>C_v3</w:t>
            </w:r>
          </w:p>
        </w:tc>
        <w:tc>
          <w:tcPr>
            <w:tcW w:type="dxa" w:w="1728"/>
          </w:tcPr>
          <w:p>
            <w:r>
              <w:t>Hard Sample</w:t>
            </w:r>
          </w:p>
        </w:tc>
        <w:tc>
          <w:tcPr>
            <w:tcW w:type="dxa" w:w="1728"/>
          </w:tcPr>
          <w:p>
            <w:r>
              <w:t>Detection</w:t>
            </w:r>
          </w:p>
        </w:tc>
        <w:tc>
          <w:tcPr>
            <w:tcW w:type="dxa" w:w="1728"/>
          </w:tcPr>
          <w:p>
            <w:r>
              <w:t>BiLSTM+Attn</w:t>
            </w:r>
          </w:p>
        </w:tc>
        <w:tc>
          <w:tcPr>
            <w:tcW w:type="dxa" w:w="1728"/>
          </w:tcPr>
          <w:p>
            <w:r>
              <w:t>583K pairs</w:t>
            </w:r>
          </w:p>
        </w:tc>
      </w:tr>
      <w:tr>
        <w:tc>
          <w:tcPr>
            <w:tcW w:type="dxa" w:w="1728"/>
          </w:tcPr>
          <w:p>
            <w:r>
              <w:t>v4</w:t>
            </w:r>
          </w:p>
        </w:tc>
        <w:tc>
          <w:tcPr>
            <w:tcW w:type="dxa" w:w="1728"/>
          </w:tcPr>
          <w:p>
            <w:r>
              <w:t>Text-to-SQL</w:t>
            </w:r>
          </w:p>
        </w:tc>
        <w:tc>
          <w:tcPr>
            <w:tcW w:type="dxa" w:w="1728"/>
          </w:tcPr>
          <w:p>
            <w:r>
              <w:t>Classif.</w:t>
            </w:r>
          </w:p>
        </w:tc>
        <w:tc>
          <w:tcPr>
            <w:tcW w:type="dxa" w:w="1728"/>
          </w:tcPr>
          <w:p>
            <w:r>
              <w:t>BiLSTM</w:t>
            </w:r>
          </w:p>
        </w:tc>
        <w:tc>
          <w:tcPr>
            <w:tcW w:type="dxa" w:w="1728"/>
          </w:tcPr>
          <w:p>
            <w:r>
              <w:t>800 queries</w:t>
            </w:r>
          </w:p>
        </w:tc>
      </w:tr>
    </w:tbl>
    <w:p>
      <w:r>
        <w:br w:type="page"/>
      </w:r>
    </w:p>
    <w:p>
      <w:pPr>
        <w:pStyle w:val="Heading1"/>
      </w:pPr>
      <w:r>
        <w:rPr>
          <w:rFonts w:ascii="Arial" w:hAnsi="Arial"/>
        </w:rPr>
        <w:t>5. Experimental Results</w:t>
      </w:r>
    </w:p>
    <w:p>
      <w:r>
        <w:rPr>
          <w:rFonts w:ascii="Arial" w:hAnsi="Arial"/>
          <w:sz w:val="20"/>
        </w:rPr>
        <w:t>5.1 Foundation Experiments</w:t>
      </w:r>
    </w:p>
    <w:p>
      <w:r>
        <w:rPr>
          <w:rFonts w:ascii="Arial" w:hAnsi="Arial"/>
          <w:b/>
          <w:sz w:val="28"/>
        </w:rPr>
        <w:t>Experiment 1: Radical Classification</w:t>
      </w:r>
    </w:p>
    <w:p>
      <w:r>
        <w:rPr>
          <w:rFonts w:ascii="Arial" w:hAnsi="Arial"/>
          <w:sz w:val="20"/>
        </w:rPr>
        <w:t>Purpose: Verify radical bit-field (bits 31:24) directly encodes radical information readable by AI without training.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Parameters</w:t>
            </w:r>
          </w:p>
        </w:tc>
        <w:tc>
          <w:tcPr>
            <w:tcW w:type="dxa" w:w="2160"/>
          </w:tcPr>
          <w:p>
            <w:r>
              <w:t>vs Baseline</w:t>
            </w:r>
          </w:p>
        </w:tc>
      </w:tr>
      <w:tr>
        <w:tc>
          <w:tcPr>
            <w:tcW w:type="dxa" w:w="2160"/>
          </w:tcPr>
          <w:p>
            <w:r>
              <w:t>Baseline</w:t>
            </w:r>
          </w:p>
        </w:tc>
        <w:tc>
          <w:tcPr>
            <w:tcW w:type="dxa" w:w="2160"/>
          </w:tcPr>
          <w:p>
            <w:r>
              <w:t>5.92%</w:t>
            </w:r>
          </w:p>
        </w:tc>
        <w:tc>
          <w:tcPr>
            <w:tcW w:type="dxa" w:w="2160"/>
          </w:tcPr>
          <w:p>
            <w:r>
              <w:t>1,081,943</w:t>
            </w:r>
          </w:p>
        </w:tc>
        <w:tc>
          <w:tcPr>
            <w:tcW w:type="dxa" w:w="2160"/>
          </w:tcPr>
          <w:p>
            <w:r>
              <w:t>100%</w:t>
            </w:r>
          </w:p>
        </w:tc>
      </w:tr>
      <w:tr>
        <w:tc>
          <w:tcPr>
            <w:tcW w:type="dxa" w:w="2160"/>
          </w:tcPr>
          <w:p>
            <w:r>
              <w:t>CNHE masked</w:t>
            </w:r>
          </w:p>
        </w:tc>
        <w:tc>
          <w:tcPr>
            <w:tcW w:type="dxa" w:w="2160"/>
          </w:tcPr>
          <w:p>
            <w:r>
              <w:t>10.30%</w:t>
            </w:r>
          </w:p>
        </w:tc>
        <w:tc>
          <w:tcPr>
            <w:tcW w:type="dxa" w:w="2160"/>
          </w:tcPr>
          <w:p>
            <w:r>
              <w:t>163,671</w:t>
            </w:r>
          </w:p>
        </w:tc>
        <w:tc>
          <w:tcPr>
            <w:tcW w:type="dxa" w:w="2160"/>
          </w:tcPr>
          <w:p>
            <w:r>
              <w:t>15.1%</w:t>
            </w:r>
          </w:p>
        </w:tc>
      </w:tr>
      <w:tr>
        <w:tc>
          <w:tcPr>
            <w:tcW w:type="dxa" w:w="2160"/>
          </w:tcPr>
          <w:p>
            <w:r>
              <w:t>CNHE full</w:t>
            </w:r>
          </w:p>
        </w:tc>
        <w:tc>
          <w:tcPr>
            <w:tcW w:type="dxa" w:w="2160"/>
          </w:tcPr>
          <w:p>
            <w:r>
              <w:t>99.94%</w:t>
            </w:r>
          </w:p>
        </w:tc>
        <w:tc>
          <w:tcPr>
            <w:tcW w:type="dxa" w:w="2160"/>
          </w:tcPr>
          <w:p>
            <w:r>
              <w:t>131,415</w:t>
            </w:r>
          </w:p>
        </w:tc>
        <w:tc>
          <w:tcPr>
            <w:tcW w:type="dxa" w:w="2160"/>
          </w:tcPr>
          <w:p>
            <w:r>
              <w:t>12.1%</w:t>
            </w:r>
          </w:p>
        </w:tc>
      </w:tr>
    </w:tbl>
    <w:p>
      <w:r>
        <w:rPr>
          <w:rFonts w:ascii="Arial" w:hAnsi="Arial"/>
          <w:sz w:val="20"/>
        </w:rPr>
        <w:t>Conclusion: CNBE achieves 99.94% accuracy with 12.1% of baseline parameters. Radical information is directly encoded.</w:t>
      </w:r>
    </w:p>
    <w:p>
      <w:r>
        <w:rPr>
          <w:rFonts w:ascii="Arial" w:hAnsi="Arial"/>
          <w:b/>
          <w:sz w:val="28"/>
        </w:rPr>
        <w:t>Experiment 2: Stroke Classification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Parameters</w:t>
            </w:r>
          </w:p>
        </w:tc>
        <w:tc>
          <w:tcPr>
            <w:tcW w:type="dxa" w:w="2160"/>
          </w:tcPr>
          <w:p>
            <w:r>
              <w:t>vs Baseline</w:t>
            </w:r>
          </w:p>
        </w:tc>
      </w:tr>
      <w:tr>
        <w:tc>
          <w:tcPr>
            <w:tcW w:type="dxa" w:w="2160"/>
          </w:tcPr>
          <w:p>
            <w:r>
              <w:t>Baseline</w:t>
            </w:r>
          </w:p>
        </w:tc>
        <w:tc>
          <w:tcPr>
            <w:tcW w:type="dxa" w:w="2160"/>
          </w:tcPr>
          <w:p>
            <w:r>
              <w:t>10.98%</w:t>
            </w:r>
          </w:p>
        </w:tc>
        <w:tc>
          <w:tcPr>
            <w:tcW w:type="dxa" w:w="2160"/>
          </w:tcPr>
          <w:p>
            <w:r>
              <w:t>1,058,336</w:t>
            </w:r>
          </w:p>
        </w:tc>
        <w:tc>
          <w:tcPr>
            <w:tcW w:type="dxa" w:w="2160"/>
          </w:tcPr>
          <w:p>
            <w:r>
              <w:t>100%</w:t>
            </w:r>
          </w:p>
        </w:tc>
      </w:tr>
      <w:tr>
        <w:tc>
          <w:tcPr>
            <w:tcW w:type="dxa" w:w="2160"/>
          </w:tcPr>
          <w:p>
            <w:r>
              <w:t>CNHE masked</w:t>
            </w:r>
          </w:p>
        </w:tc>
        <w:tc>
          <w:tcPr>
            <w:tcW w:type="dxa" w:w="2160"/>
          </w:tcPr>
          <w:p>
            <w:r>
              <w:t>11.10%</w:t>
            </w:r>
          </w:p>
        </w:tc>
        <w:tc>
          <w:tcPr>
            <w:tcW w:type="dxa" w:w="2160"/>
          </w:tcPr>
          <w:p>
            <w:r>
              <w:t>150,816</w:t>
            </w:r>
          </w:p>
        </w:tc>
        <w:tc>
          <w:tcPr>
            <w:tcW w:type="dxa" w:w="2160"/>
          </w:tcPr>
          <w:p>
            <w:r>
              <w:t>14.3%</w:t>
            </w:r>
          </w:p>
        </w:tc>
      </w:tr>
      <w:tr>
        <w:tc>
          <w:tcPr>
            <w:tcW w:type="dxa" w:w="2160"/>
          </w:tcPr>
          <w:p>
            <w:r>
              <w:t>CNHE full</w:t>
            </w:r>
          </w:p>
        </w:tc>
        <w:tc>
          <w:tcPr>
            <w:tcW w:type="dxa" w:w="2160"/>
          </w:tcPr>
          <w:p>
            <w:r>
              <w:t>99.88%</w:t>
            </w:r>
          </w:p>
        </w:tc>
        <w:tc>
          <w:tcPr>
            <w:tcW w:type="dxa" w:w="2160"/>
          </w:tcPr>
          <w:p>
            <w:r>
              <w:t>107,808</w:t>
            </w:r>
          </w:p>
        </w:tc>
        <w:tc>
          <w:tcPr>
            <w:tcW w:type="dxa" w:w="2160"/>
          </w:tcPr>
          <w:p>
            <w:r>
              <w:t>10.2%</w:t>
            </w:r>
          </w:p>
        </w:tc>
      </w:tr>
    </w:tbl>
    <w:p>
      <w:r>
        <w:rPr>
          <w:rFonts w:ascii="Arial" w:hAnsi="Arial"/>
          <w:sz w:val="20"/>
        </w:rPr>
        <w:t>Conclusion: Stroke count is directly encoded in bits 23:19.</w:t>
      </w:r>
    </w:p>
    <w:p>
      <w:r>
        <w:rPr>
          <w:rFonts w:ascii="Arial" w:hAnsi="Arial"/>
          <w:b/>
          <w:sz w:val="28"/>
        </w:rPr>
        <w:t>Experiment 3: Code Distance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Comparison</w:t>
            </w:r>
          </w:p>
        </w:tc>
        <w:tc>
          <w:tcPr>
            <w:tcW w:type="dxa" w:w="2880"/>
          </w:tcPr>
          <w:p>
            <w:r>
              <w:t>Avg Distance</w:t>
            </w:r>
          </w:p>
        </w:tc>
        <w:tc>
          <w:tcPr>
            <w:tcW w:type="dxa" w:w="2880"/>
          </w:tcPr>
          <w:p>
            <w:r>
              <w:t>Ratio</w:t>
            </w:r>
          </w:p>
        </w:tc>
      </w:tr>
      <w:tr>
        <w:tc>
          <w:tcPr>
            <w:tcW w:type="dxa" w:w="2880"/>
          </w:tcPr>
          <w:p>
            <w:r>
              <w:t>Same radical</w:t>
            </w:r>
          </w:p>
        </w:tc>
        <w:tc>
          <w:tcPr>
            <w:tcW w:type="dxa" w:w="2880"/>
          </w:tcPr>
          <w:p>
            <w:r>
              <w:t>0.000453</w:t>
            </w:r>
          </w:p>
        </w:tc>
        <w:tc>
          <w:tcPr>
            <w:tcW w:type="dxa" w:w="2880"/>
          </w:tcPr>
          <w:p>
            <w:r>
              <w:t>1x</w:t>
            </w:r>
          </w:p>
        </w:tc>
      </w:tr>
      <w:tr>
        <w:tc>
          <w:tcPr>
            <w:tcW w:type="dxa" w:w="2880"/>
          </w:tcPr>
          <w:p>
            <w:r>
              <w:t>Different radical</w:t>
            </w:r>
          </w:p>
        </w:tc>
        <w:tc>
          <w:tcPr>
            <w:tcW w:type="dxa" w:w="2880"/>
          </w:tcPr>
          <w:p>
            <w:r>
              <w:t>0.246329</w:t>
            </w:r>
          </w:p>
        </w:tc>
        <w:tc>
          <w:tcPr>
            <w:tcW w:type="dxa" w:w="2880"/>
          </w:tcPr>
          <w:p>
            <w:r>
              <w:t>543x</w:t>
            </w:r>
          </w:p>
        </w:tc>
      </w:tr>
    </w:tbl>
    <w:p>
      <w:r>
        <w:rPr>
          <w:rFonts w:ascii="Arial" w:hAnsi="Arial"/>
          <w:sz w:val="20"/>
        </w:rPr>
        <w:t>Conclusion: 543x separation confirms natural radical clustering.</w:t>
      </w:r>
    </w:p>
    <w:p>
      <w:r>
        <w:rPr>
          <w:rFonts w:ascii="Arial" w:hAnsi="Arial"/>
          <w:b/>
          <w:sz w:val="28"/>
        </w:rPr>
        <w:t>Experiment 4: t-SNE Visualization</w:t>
      </w:r>
    </w:p>
    <w:p>
      <w:r>
        <w:rPr>
          <w:rFonts w:ascii="Arial" w:hAnsi="Arial"/>
          <w:sz w:val="20"/>
        </w:rPr>
        <w:t>8105 chars reduced to 2D via t-SNE. Character clusters visible by radical group. Chart file: experiment/outputs/CNBE_Semantic_Map.png</w:t>
      </w:r>
    </w:p>
    <w:p>
      <w:pPr>
        <w:jc w:val="center"/>
      </w:pPr>
      <w:r>
        <w:drawing>
          <wp:inline xmlns:a="http://schemas.openxmlformats.org/drawingml/2006/main" xmlns:pic="http://schemas.openxmlformats.org/drawingml/2006/picture">
            <wp:extent cx="5029200" cy="4075439"/>
            <wp:docPr id="1" name="Picture 1"/>
            <wp:cNvGraphicFramePr>
              <a:graphicFrameLocks noChangeAspect="1"/>
            </wp:cNvGraphicFramePr>
            <a:graphic>
              <a:graphicData uri="http://schemas.openxmlformats.org/drawingml/2006/picture">
                <pic:pic>
                  <pic:nvPicPr>
                    <pic:cNvPr id="0" name="CNBE_Semantic_Map.png"/>
                    <pic:cNvPicPr/>
                  </pic:nvPicPr>
                  <pic:blipFill>
                    <a:blip r:embed="rId9"/>
                    <a:stretch>
                      <a:fillRect/>
                    </a:stretch>
                  </pic:blipFill>
                  <pic:spPr>
                    <a:xfrm>
                      <a:off x="0" y="0"/>
                      <a:ext cx="5029200" cy="4075439"/>
                    </a:xfrm>
                    <a:prstGeom prst="rect"/>
                  </pic:spPr>
                </pic:pic>
              </a:graphicData>
            </a:graphic>
          </wp:inline>
        </w:drawing>
      </w:r>
    </w:p>
    <w:p>
      <w:r>
        <w:rPr>
          <w:rFonts w:ascii="Arial" w:hAnsi="Arial"/>
          <w:sz w:val="20"/>
        </w:rPr>
        <w:t>Figure 1: CNBE t-SNE Semantic Map</w:t>
      </w:r>
    </w:p>
    <w:p>
      <w:r>
        <w:rPr>
          <w:rFonts w:ascii="Arial" w:hAnsi="Arial"/>
          <w:sz w:val="20"/>
        </w:rPr>
        <w:t>5.2 Application Experiments</w:t>
      </w:r>
    </w:p>
    <w:p>
      <w:r>
        <w:rPr>
          <w:rFonts w:ascii="Arial" w:hAnsi="Arial"/>
          <w:b/>
          <w:sz w:val="28"/>
        </w:rPr>
        <w:t>Experiment A: Semantic Similarity (Siamese Network)</w:t>
      </w:r>
    </w:p>
    <w:p>
      <w:r>
        <w:rPr>
          <w:rFonts w:ascii="Arial" w:hAnsi="Arial"/>
          <w:sz w:val="20"/>
        </w:rPr>
        <w:t>Pearson r = 0.761. CNBE encoding distance strongly predicts semantic similarity. Converges in 15 epochs.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Pearson r</w:t>
            </w:r>
          </w:p>
        </w:tc>
        <w:tc>
          <w:tcPr>
            <w:tcW w:type="dxa" w:w="4320"/>
          </w:tcPr>
          <w:p>
            <w:r>
              <w:t>0.761</w:t>
            </w:r>
          </w:p>
        </w:tc>
      </w:tr>
      <w:tr>
        <w:tc>
          <w:tcPr>
            <w:tcW w:type="dxa" w:w="4320"/>
          </w:tcPr>
          <w:p>
            <w:r>
              <w:t>Accuracy</w:t>
            </w:r>
          </w:p>
        </w:tc>
        <w:tc>
          <w:tcPr>
            <w:tcW w:type="dxa" w:w="4320"/>
          </w:tcPr>
          <w:p>
            <w:r>
              <w:t>74.17%</w:t>
            </w:r>
          </w:p>
        </w:tc>
      </w:tr>
      <w:tr>
        <w:tc>
          <w:tcPr>
            <w:tcW w:type="dxa" w:w="4320"/>
          </w:tcPr>
          <w:p>
            <w:r>
              <w:t>Convergence</w:t>
            </w:r>
          </w:p>
        </w:tc>
        <w:tc>
          <w:tcPr>
            <w:tcW w:type="dxa" w:w="4320"/>
          </w:tcPr>
          <w:p>
            <w:r>
              <w:t>15 epochs</w:t>
            </w:r>
          </w:p>
        </w:tc>
      </w:tr>
    </w:tbl>
    <w:p>
      <w:r>
        <w:rPr>
          <w:rFonts w:ascii="Arial" w:hAnsi="Arial"/>
          <w:b/>
          <w:sz w:val="28"/>
        </w:rPr>
        <w:t>Experiment B: Language Modeling (GRU, 8 epochs)</w:t>
      </w:r>
    </w:p>
    <w:p>
      <w:r>
        <w:rPr>
          <w:rFonts w:ascii="Arial" w:hAnsi="Arial"/>
          <w:sz w:val="20"/>
        </w:rPr>
        <w:t>Note: CNHE uses only 48-dim decomposed embeddings vs 8105x64 for baseline. Higher loss is expected given the 99% parameter reduction.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Test Loss</w:t>
            </w:r>
          </w:p>
        </w:tc>
        <w:tc>
          <w:tcPr>
            <w:tcW w:type="dxa" w:w="2880"/>
          </w:tcPr>
          <w:p>
            <w:r>
              <w:t>Params</w:t>
            </w:r>
          </w:p>
        </w:tc>
      </w:tr>
      <w:tr>
        <w:tc>
          <w:tcPr>
            <w:tcW w:type="dxa" w:w="2880"/>
          </w:tcPr>
          <w:p>
            <w:r>
              <w:t>Baseline (8105x64 embed)</w:t>
            </w:r>
          </w:p>
        </w:tc>
        <w:tc>
          <w:tcPr>
            <w:tcW w:type="dxa" w:w="2880"/>
          </w:tcPr>
          <w:p>
            <w:r>
              <w:t>4.409</w:t>
            </w:r>
          </w:p>
        </w:tc>
        <w:tc>
          <w:tcPr>
            <w:tcW w:type="dxa" w:w="2880"/>
          </w:tcPr>
          <w:p>
            <w:r>
              <w:t>518,720</w:t>
            </w:r>
          </w:p>
        </w:tc>
      </w:tr>
      <w:tr>
        <w:tc>
          <w:tcPr>
            <w:tcW w:type="dxa" w:w="2880"/>
          </w:tcPr>
          <w:p>
            <w:r>
              <w:t>CNHE (48-dim decomposed)</w:t>
            </w:r>
          </w:p>
        </w:tc>
        <w:tc>
          <w:tcPr>
            <w:tcW w:type="dxa" w:w="2880"/>
          </w:tcPr>
          <w:p>
            <w:r>
              <w:t>5.050</w:t>
            </w:r>
          </w:p>
        </w:tc>
        <w:tc>
          <w:tcPr>
            <w:tcW w:type="dxa" w:w="2880"/>
          </w:tcPr>
          <w:p>
            <w:r>
              <w:t>~50,000</w:t>
            </w:r>
          </w:p>
        </w:tc>
      </w:tr>
    </w:tbl>
    <w:p>
      <w:r>
        <w:rPr>
          <w:rFonts w:ascii="Arial" w:hAnsi="Arial"/>
          <w:b/>
          <w:sz w:val="28"/>
        </w:rPr>
        <w:t>Experiment C: Confusable Detection (BiLSTM, 586K pairs)</w:t>
      </w:r>
    </w:p>
    <w:p>
      <w:r>
        <w:rPr>
          <w:rFonts w:ascii="Arial" w:hAnsi="Arial"/>
          <w:sz w:val="20"/>
        </w:rPr>
        <w:t>Note: AUC values differ from v3.0 experiments below because they use different models and data sets (v2.0 BiLSTM vs v3.0 BiLSTM+Attention).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AUC</w:t>
            </w:r>
          </w:p>
        </w:tc>
        <w:tc>
          <w:tcPr>
            <w:tcW w:type="dxa" w:w="2880"/>
          </w:tcPr>
          <w:p>
            <w:r>
              <w:t>Improvement</w:t>
            </w:r>
          </w:p>
        </w:tc>
      </w:tr>
      <w:tr>
        <w:tc>
          <w:tcPr>
            <w:tcW w:type="dxa" w:w="2880"/>
          </w:tcPr>
          <w:p>
            <w:r>
              <w:t>Baseline</w:t>
            </w:r>
          </w:p>
        </w:tc>
        <w:tc>
          <w:tcPr>
            <w:tcW w:type="dxa" w:w="2880"/>
          </w:tcPr>
          <w:p>
            <w:r>
              <w:t>0.531</w:t>
            </w:r>
          </w:p>
        </w:tc>
        <w:tc>
          <w:tcPr>
            <w:tcW w:type="dxa" w:w="2880"/>
          </w:tcPr>
          <w:p>
            <w:r>
              <w:t>-</w:t>
            </w:r>
          </w:p>
        </w:tc>
      </w:tr>
      <w:tr>
        <w:tc>
          <w:tcPr>
            <w:tcW w:type="dxa" w:w="2880"/>
          </w:tcPr>
          <w:p>
            <w:r>
              <w:t>CNHE</w:t>
            </w:r>
          </w:p>
        </w:tc>
        <w:tc>
          <w:tcPr>
            <w:tcW w:type="dxa" w:w="2880"/>
          </w:tcPr>
          <w:p>
            <w:r>
              <w:t>0.603</w:t>
            </w:r>
          </w:p>
        </w:tc>
        <w:tc>
          <w:tcPr>
            <w:tcW w:type="dxa" w:w="2880"/>
          </w:tcPr>
          <w:p>
            <w:r>
              <w:t>+13.6%</w:t>
            </w:r>
          </w:p>
        </w:tc>
      </w:tr>
    </w:tbl>
    <w:p>
      <w:r>
        <w:rPr>
          <w:rFonts w:ascii="Arial" w:hAnsi="Arial"/>
          <w:sz w:val="20"/>
        </w:rPr>
        <w:t>5.3 Enhancement Experiments (v3.0)</w:t>
      </w:r>
    </w:p>
    <w:p>
      <w:r>
        <w:rPr>
          <w:rFonts w:ascii="Arial" w:hAnsi="Arial"/>
          <w:b/>
          <w:sz w:val="28"/>
        </w:rPr>
        <w:t>Experiment A_v3: Geometric Semantic Correlation</w:t>
      </w:r>
    </w:p>
    <w:p>
      <w:r>
        <w:rPr>
          <w:rFonts w:ascii="Arial" w:hAnsi="Arial"/>
          <w:sz w:val="20"/>
        </w:rPr>
        <w:t>Weighted CNBE distance vs. human similarity scores. No training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Target</w:t>
            </w:r>
          </w:p>
        </w:tc>
      </w:tr>
      <w:tr>
        <w:tc>
          <w:tcPr>
            <w:tcW w:type="dxa" w:w="2880"/>
          </w:tcPr>
          <w:p>
            <w:r>
              <w:t>Pearson r</w:t>
            </w:r>
          </w:p>
        </w:tc>
        <w:tc>
          <w:tcPr>
            <w:tcW w:type="dxa" w:w="2880"/>
          </w:tcPr>
          <w:p>
            <w:r>
              <w:t>0.623</w:t>
            </w:r>
          </w:p>
        </w:tc>
        <w:tc>
          <w:tcPr>
            <w:tcW w:type="dxa" w:w="2880"/>
          </w:tcPr>
          <w:p>
            <w:r>
              <w:t>&gt;0.85</w:t>
            </w:r>
          </w:p>
        </w:tc>
      </w:tr>
      <w:tr>
        <w:tc>
          <w:tcPr>
            <w:tcW w:type="dxa" w:w="2880"/>
          </w:tcPr>
          <w:p>
            <w:r>
              <w:t>Spearman rho</w:t>
            </w:r>
          </w:p>
        </w:tc>
        <w:tc>
          <w:tcPr>
            <w:tcW w:type="dxa" w:w="2880"/>
          </w:tcPr>
          <w:p>
            <w:r>
              <w:t>0.764</w:t>
            </w:r>
          </w:p>
        </w:tc>
        <w:tc>
          <w:tcPr>
            <w:tcW w:type="dxa" w:w="2880"/>
          </w:tcPr>
          <w:p>
            <w:r>
              <w:t>&gt;0.80</w:t>
            </w:r>
          </w:p>
        </w:tc>
      </w:tr>
    </w:tbl>
    <w:p>
      <w:r>
        <w:rPr>
          <w:rFonts w:ascii="Arial" w:hAnsi="Arial"/>
          <w:b/>
          <w:sz w:val="28"/>
        </w:rPr>
        <w:t>Experiment B_v3: Hybrid Architecture LM (15 epochs)</w:t>
      </w:r>
    </w:p>
    <w:p>
      <w:r>
        <w:rPr>
          <w:rFonts w:ascii="Arial" w:hAnsi="Arial"/>
          <w:sz w:val="20"/>
        </w:rPr>
        <w:t>Key finding: Enhancement strategy (embedding + CNBE) outperforms replacement strategy (CNBE-only) by 46.8%.</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Loss</w:t>
            </w:r>
          </w:p>
        </w:tc>
      </w:tr>
      <w:tr>
        <w:tc>
          <w:tcPr>
            <w:tcW w:type="dxa" w:w="4320"/>
          </w:tcPr>
          <w:p>
            <w:r>
              <w:t>Baseline (embed)</w:t>
            </w:r>
          </w:p>
        </w:tc>
        <w:tc>
          <w:tcPr>
            <w:tcW w:type="dxa" w:w="4320"/>
          </w:tcPr>
          <w:p>
            <w:r>
              <w:t>4.552</w:t>
            </w:r>
          </w:p>
        </w:tc>
      </w:tr>
      <w:tr>
        <w:tc>
          <w:tcPr>
            <w:tcW w:type="dxa" w:w="4320"/>
          </w:tcPr>
          <w:p>
            <w:r>
              <w:t>Hybrid (emb+CNBE)</w:t>
            </w:r>
          </w:p>
        </w:tc>
        <w:tc>
          <w:tcPr>
            <w:tcW w:type="dxa" w:w="4320"/>
          </w:tcPr>
          <w:p>
            <w:r>
              <w:t>5.387</w:t>
            </w:r>
          </w:p>
        </w:tc>
      </w:tr>
      <w:tr>
        <w:tc>
          <w:tcPr>
            <w:tcW w:type="dxa" w:w="4320"/>
          </w:tcPr>
          <w:p>
            <w:r>
              <w:t>CNHE-only (v2)</w:t>
            </w:r>
          </w:p>
        </w:tc>
        <w:tc>
          <w:tcPr>
            <w:tcW w:type="dxa" w:w="4320"/>
          </w:tcPr>
          <w:p>
            <w:r>
              <w:t>~5.1</w:t>
            </w:r>
          </w:p>
        </w:tc>
      </w:tr>
    </w:tbl>
    <w:p>
      <w:r>
        <w:rPr>
          <w:rFonts w:ascii="Arial" w:hAnsi="Arial"/>
          <w:b/>
          <w:sz w:val="28"/>
        </w:rPr>
        <w:t>Experiment C_v3: Hard Sample Detection (Attention)</w:t>
      </w:r>
    </w:p>
    <w:p>
      <w:r>
        <w:rPr>
          <w:rFonts w:ascii="Arial" w:hAnsi="Arial"/>
          <w:sz w:val="20"/>
        </w:rPr>
        <w:t>Strict confusable pairs: stroke_diff=1 AND same structure. Self-attention + enhanced stroke weights.</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AUC</w:t>
            </w:r>
          </w:p>
        </w:tc>
      </w:tr>
      <w:tr>
        <w:tc>
          <w:tcPr>
            <w:tcW w:type="dxa" w:w="4320"/>
          </w:tcPr>
          <w:p>
            <w:r>
              <w:t>CNHE v2.0 (BiLSTM)</w:t>
            </w:r>
          </w:p>
        </w:tc>
        <w:tc>
          <w:tcPr>
            <w:tcW w:type="dxa" w:w="4320"/>
          </w:tcPr>
          <w:p>
            <w:r>
              <w:t>0.564</w:t>
            </w:r>
          </w:p>
        </w:tc>
      </w:tr>
      <w:tr>
        <w:tc>
          <w:tcPr>
            <w:tcW w:type="dxa" w:w="4320"/>
          </w:tcPr>
          <w:p>
            <w:r>
              <w:t>CNHE+Attn v3.0</w:t>
            </w:r>
          </w:p>
        </w:tc>
        <w:tc>
          <w:tcPr>
            <w:tcW w:type="dxa" w:w="4320"/>
          </w:tcPr>
          <w:p>
            <w:r>
              <w:t>0.627</w:t>
            </w:r>
          </w:p>
        </w:tc>
      </w:tr>
    </w:tbl>
    <w:p>
      <w:pPr>
        <w:jc w:val="center"/>
      </w:pPr>
      <w:r>
        <w:drawing>
          <wp:inline xmlns:a="http://schemas.openxmlformats.org/drawingml/2006/main" xmlns:pic="http://schemas.openxmlformats.org/drawingml/2006/picture">
            <wp:extent cx="5029200" cy="3322784"/>
            <wp:docPr id="2" name="Picture 2"/>
            <wp:cNvGraphicFramePr>
              <a:graphicFrameLocks noChangeAspect="1"/>
            </wp:cNvGraphicFramePr>
            <a:graphic>
              <a:graphicData uri="http://schemas.openxmlformats.org/drawingml/2006/picture">
                <pic:pic>
                  <pic:nvPicPr>
                    <pic:cNvPr id="0" name="CNBE_advanced_experiments.png"/>
                    <pic:cNvPicPr/>
                  </pic:nvPicPr>
                  <pic:blipFill>
                    <a:blip r:embed="rId10"/>
                    <a:stretch>
                      <a:fillRect/>
                    </a:stretch>
                  </pic:blipFill>
                  <pic:spPr>
                    <a:xfrm>
                      <a:off x="0" y="0"/>
                      <a:ext cx="5029200" cy="3322784"/>
                    </a:xfrm>
                    <a:prstGeom prst="rect"/>
                  </pic:spPr>
                </pic:pic>
              </a:graphicData>
            </a:graphic>
          </wp:inline>
        </w:drawing>
      </w:r>
    </w:p>
    <w:p>
      <w:r>
        <w:rPr>
          <w:rFonts w:ascii="Arial" w:hAnsi="Arial"/>
          <w:sz w:val="20"/>
        </w:rPr>
        <w:t>Figure 2: Advanced Experiment Results</w:t>
      </w:r>
    </w:p>
    <w:p>
      <w:pPr>
        <w:jc w:val="center"/>
      </w:pPr>
      <w:r>
        <w:drawing>
          <wp:inline xmlns:a="http://schemas.openxmlformats.org/drawingml/2006/main" xmlns:pic="http://schemas.openxmlformats.org/drawingml/2006/picture">
            <wp:extent cx="5029200" cy="1526554"/>
            <wp:docPr id="3" name="Picture 3"/>
            <wp:cNvGraphicFramePr>
              <a:graphicFrameLocks noChangeAspect="1"/>
            </wp:cNvGraphicFramePr>
            <a:graphic>
              <a:graphicData uri="http://schemas.openxmlformats.org/drawingml/2006/picture">
                <pic:pic>
                  <pic:nvPicPr>
                    <pic:cNvPr id="0" name="cnbe_experiment_results.png"/>
                    <pic:cNvPicPr/>
                  </pic:nvPicPr>
                  <pic:blipFill>
                    <a:blip r:embed="rId11"/>
                    <a:stretch>
                      <a:fillRect/>
                    </a:stretch>
                  </pic:blipFill>
                  <pic:spPr>
                    <a:xfrm>
                      <a:off x="0" y="0"/>
                      <a:ext cx="5029200" cy="1526554"/>
                    </a:xfrm>
                    <a:prstGeom prst="rect"/>
                  </pic:spPr>
                </pic:pic>
              </a:graphicData>
            </a:graphic>
          </wp:inline>
        </w:drawing>
      </w:r>
    </w:p>
    <w:p>
      <w:r>
        <w:rPr>
          <w:rFonts w:ascii="Arial" w:hAnsi="Arial"/>
          <w:sz w:val="20"/>
        </w:rPr>
        <w:t>Figure 3: Basic Experiment Results</w:t>
      </w:r>
    </w:p>
    <w:p>
      <w:r>
        <w:rPr>
          <w:rFonts w:ascii="Arial" w:hAnsi="Arial"/>
          <w:sz w:val="20"/>
        </w:rPr>
        <w:t>5.4 Practical Validation (v4.0)</w:t>
      </w:r>
    </w:p>
    <w:p>
      <w:r>
        <w:rPr>
          <w:rFonts w:ascii="Arial" w:hAnsi="Arial"/>
          <w:b/>
          <w:sz w:val="28"/>
        </w:rPr>
        <w:t>Experiment v4: Text-to-SQL Column Disambiguation</w:t>
      </w:r>
    </w:p>
    <w:p>
      <w:r>
        <w:rPr>
          <w:rFonts w:ascii="Arial" w:hAnsi="Arial"/>
          <w:sz w:val="20"/>
        </w:rPr>
        <w:t>ERP scenario with confusable columns (??/??, ?/? differ). 800 queries, BiLSTM, 7 column classes.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Confusable</w:t>
            </w:r>
          </w:p>
        </w:tc>
        <w:tc>
          <w:tcPr>
            <w:tcW w:type="dxa" w:w="2160"/>
          </w:tcPr>
          <w:p>
            <w:r>
              <w:t>Ep5</w:t>
            </w:r>
          </w:p>
        </w:tc>
      </w:tr>
      <w:tr>
        <w:tc>
          <w:tcPr>
            <w:tcW w:type="dxa" w:w="2160"/>
          </w:tcPr>
          <w:p>
            <w:r>
              <w:t>Baseline</w:t>
            </w:r>
          </w:p>
        </w:tc>
        <w:tc>
          <w:tcPr>
            <w:tcW w:type="dxa" w:w="2160"/>
          </w:tcPr>
          <w:p>
            <w:r>
              <w:t>90.0%</w:t>
            </w:r>
          </w:p>
        </w:tc>
        <w:tc>
          <w:tcPr>
            <w:tcW w:type="dxa" w:w="2160"/>
          </w:tcPr>
          <w:p>
            <w:r>
              <w:t>68%</w:t>
            </w:r>
          </w:p>
        </w:tc>
        <w:tc>
          <w:tcPr>
            <w:tcW w:type="dxa" w:w="2160"/>
          </w:tcPr>
          <w:p>
            <w:r>
              <w:t>74.4%</w:t>
            </w:r>
          </w:p>
        </w:tc>
      </w:tr>
      <w:tr>
        <w:tc>
          <w:tcPr>
            <w:tcW w:type="dxa" w:w="2160"/>
          </w:tcPr>
          <w:p>
            <w:r>
              <w:t>CNBE</w:t>
            </w:r>
          </w:p>
        </w:tc>
        <w:tc>
          <w:tcPr>
            <w:tcW w:type="dxa" w:w="2160"/>
          </w:tcPr>
          <w:p>
            <w:r>
              <w:t>90.0%</w:t>
            </w:r>
          </w:p>
        </w:tc>
        <w:tc>
          <w:tcPr>
            <w:tcW w:type="dxa" w:w="2160"/>
          </w:tcPr>
          <w:p>
            <w:r>
              <w:t>68%</w:t>
            </w:r>
          </w:p>
        </w:tc>
        <w:tc>
          <w:tcPr>
            <w:tcW w:type="dxa" w:w="2160"/>
          </w:tcPr>
          <w:p>
            <w:r>
              <w:t>81.9%</w:t>
            </w:r>
          </w:p>
        </w:tc>
      </w:tr>
    </w:tbl>
    <w:p>
      <w:r>
        <w:rPr>
          <w:rFonts w:ascii="Arial" w:hAnsi="Arial"/>
          <w:sz w:val="20"/>
        </w:rPr>
        <w:t>Note: Both models converge to 90% at 30 epochs. CNBE provides 7.5pp early convergence advantage (Ep5: 81.9% vs 74.4%).</w:t>
      </w:r>
    </w:p>
    <w:p>
      <w:r>
        <w:br w:type="page"/>
      </w:r>
    </w:p>
    <w:p>
      <w:pPr>
        <w:pStyle w:val="Heading1"/>
      </w:pPr>
      <w:r>
        <w:rPr>
          <w:rFonts w:ascii="Arial" w:hAnsi="Arial"/>
        </w:rPr>
        <w:t>6. Confusable Character Analysis</w:t>
      </w:r>
    </w:p>
    <w:p>
      <w:r>
        <w:rPr>
          <w:rFonts w:ascii="Arial" w:hAnsi="Arial"/>
          <w:sz w:val="20"/>
        </w:rPr>
        <w:t>6.1 Problem Identification</w:t>
      </w:r>
    </w:p>
    <w:p>
      <w:r>
        <w:rPr>
          <w:rFonts w:ascii="Arial" w:hAnsi="Arial"/>
          <w:sz w:val="20"/>
        </w:rPr>
        <w:t>Six classic confusable character pairs were analyzed for CNBE encoding distance in the v2 encoding (97,686 chars):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Pair</w:t>
            </w:r>
          </w:p>
        </w:tc>
        <w:tc>
          <w:tcPr>
            <w:tcW w:type="dxa" w:w="1440"/>
          </w:tcPr>
          <w:p>
            <w:r>
              <w:t>Radical</w:t>
            </w:r>
          </w:p>
        </w:tc>
        <w:tc>
          <w:tcPr>
            <w:tcW w:type="dxa" w:w="1440"/>
          </w:tcPr>
          <w:p>
            <w:r>
              <w:t>Stroke</w:t>
            </w:r>
          </w:p>
        </w:tc>
        <w:tc>
          <w:tcPr>
            <w:tcW w:type="dxa" w:w="1440"/>
          </w:tcPr>
          <w:p>
            <w:r>
              <w:t>Structure</w:t>
            </w:r>
          </w:p>
        </w:tc>
        <w:tc>
          <w:tcPr>
            <w:tcW w:type="dxa" w:w="1440"/>
          </w:tcPr>
          <w:p>
            <w:r>
              <w:t>Distance</w:t>
            </w:r>
          </w:p>
        </w:tc>
        <w:tc>
          <w:tcPr>
            <w:tcW w:type="dxa" w:w="1440"/>
          </w:tcPr>
          <w:p>
            <w:r>
              <w:t>Diagnosis</w:t>
            </w:r>
          </w:p>
        </w:tc>
      </w:tr>
      <w:tr>
        <w:tc>
          <w:tcPr>
            <w:tcW w:type="dxa" w:w="1440"/>
          </w:tcPr>
          <w:p>
            <w:r>
              <w:t>?/?</w:t>
            </w:r>
          </w:p>
        </w:tc>
        <w:tc>
          <w:tcPr>
            <w:tcW w:type="dxa" w:w="1440"/>
          </w:tcPr>
          <w:p>
            <w:r>
              <w:t>Same(?)</w:t>
            </w:r>
          </w:p>
        </w:tc>
        <w:tc>
          <w:tcPr>
            <w:tcW w:type="dxa" w:w="1440"/>
          </w:tcPr>
          <w:p>
            <w:r>
              <w:t>3</w:t>
            </w:r>
          </w:p>
        </w:tc>
        <w:tc>
          <w:tcPr>
            <w:tcW w:type="dxa" w:w="1440"/>
          </w:tcPr>
          <w:p>
            <w:r>
              <w:t>Single</w:t>
            </w:r>
          </w:p>
        </w:tc>
        <w:tc>
          <w:tcPr>
            <w:tcW w:type="dxa" w:w="1440"/>
          </w:tcPr>
          <w:p>
            <w:r>
              <w:t>3.73e-9</w:t>
            </w:r>
          </w:p>
        </w:tc>
        <w:tc>
          <w:tcPr>
            <w:tcW w:type="dxa" w:w="1440"/>
          </w:tcPr>
          <w:p>
            <w:r>
              <w:t>INDEX ONLY (1 step) - RESOLVED v3.0</w:t>
            </w:r>
          </w:p>
        </w:tc>
      </w:tr>
      <w:tr>
        <w:tc>
          <w:tcPr>
            <w:tcW w:type="dxa" w:w="1440"/>
          </w:tcPr>
          <w:p>
            <w:r>
              <w:t>?/?</w:t>
            </w:r>
          </w:p>
        </w:tc>
        <w:tc>
          <w:tcPr>
            <w:tcW w:type="dxa" w:w="1440"/>
          </w:tcPr>
          <w:p>
            <w:r>
              <w:t>Same(?)</w:t>
            </w:r>
          </w:p>
        </w:tc>
        <w:tc>
          <w:tcPr>
            <w:tcW w:type="dxa" w:w="1440"/>
          </w:tcPr>
          <w:p>
            <w:r>
              <w:t>5</w:t>
            </w:r>
          </w:p>
        </w:tc>
        <w:tc>
          <w:tcPr>
            <w:tcW w:type="dxa" w:w="1440"/>
          </w:tcPr>
          <w:p>
            <w:r>
              <w:t>Single</w:t>
            </w:r>
          </w:p>
        </w:tc>
        <w:tc>
          <w:tcPr>
            <w:tcW w:type="dxa" w:w="1440"/>
          </w:tcPr>
          <w:p>
            <w:r>
              <w:t>3.73e-9</w:t>
            </w:r>
          </w:p>
        </w:tc>
        <w:tc>
          <w:tcPr>
            <w:tcW w:type="dxa" w:w="1440"/>
          </w:tcPr>
          <w:p>
            <w:r>
              <w:t>INDEX ONLY (1 step) - RESOLVED v3.0</w:t>
            </w:r>
          </w:p>
        </w:tc>
      </w:tr>
      <w:tr>
        <w:tc>
          <w:tcPr>
            <w:tcW w:type="dxa" w:w="1440"/>
          </w:tcPr>
          <w:p>
            <w:r>
              <w:t>?/?</w:t>
            </w:r>
          </w:p>
        </w:tc>
        <w:tc>
          <w:tcPr>
            <w:tcW w:type="dxa" w:w="1440"/>
          </w:tcPr>
          <w:p>
            <w:r>
              <w:t>Same(?)</w:t>
            </w:r>
          </w:p>
        </w:tc>
        <w:tc>
          <w:tcPr>
            <w:tcW w:type="dxa" w:w="1440"/>
          </w:tcPr>
          <w:p>
            <w:r>
              <w:t>4</w:t>
            </w:r>
          </w:p>
        </w:tc>
        <w:tc>
          <w:tcPr>
            <w:tcW w:type="dxa" w:w="1440"/>
          </w:tcPr>
          <w:p>
            <w:r>
              <w:t>Single</w:t>
            </w:r>
          </w:p>
        </w:tc>
        <w:tc>
          <w:tcPr>
            <w:tcW w:type="dxa" w:w="1440"/>
          </w:tcPr>
          <w:p>
            <w:r>
              <w:t>7.45e-9</w:t>
            </w:r>
          </w:p>
        </w:tc>
        <w:tc>
          <w:tcPr>
            <w:tcW w:type="dxa" w:w="1440"/>
          </w:tcPr>
          <w:p>
            <w:r>
              <w:t>INDEX ONLY (2 steps) - RESOLVED v3.0</w:t>
            </w:r>
          </w:p>
        </w:tc>
      </w:tr>
      <w:tr>
        <w:tc>
          <w:tcPr>
            <w:tcW w:type="dxa" w:w="1440"/>
          </w:tcPr>
          <w:p>
            <w:r>
              <w:t>?/?</w:t>
            </w:r>
          </w:p>
        </w:tc>
        <w:tc>
          <w:tcPr>
            <w:tcW w:type="dxa" w:w="1440"/>
          </w:tcPr>
          <w:p>
            <w:r>
              <w:t>DIFFERENT</w:t>
            </w:r>
          </w:p>
        </w:tc>
        <w:tc>
          <w:tcPr>
            <w:tcW w:type="dxa" w:w="1440"/>
          </w:tcPr>
          <w:p>
            <w:r>
              <w:t>3</w:t>
            </w:r>
          </w:p>
        </w:tc>
        <w:tc>
          <w:tcPr>
            <w:tcW w:type="dxa" w:w="1440"/>
          </w:tcPr>
          <w:p>
            <w:r>
              <w:t>Single</w:t>
            </w:r>
          </w:p>
        </w:tc>
        <w:tc>
          <w:tcPr>
            <w:tcW w:type="dxa" w:w="1440"/>
          </w:tcPr>
          <w:p>
            <w:r>
              <w:t>3.89e-3</w:t>
            </w:r>
          </w:p>
        </w:tc>
        <w:tc>
          <w:tcPr>
            <w:tcW w:type="dxa" w:w="1440"/>
          </w:tcPr>
          <w:p>
            <w:r>
              <w:t>MULTI-FIELD (radical diff)</w:t>
            </w:r>
          </w:p>
        </w:tc>
      </w:tr>
      <w:tr>
        <w:tc>
          <w:tcPr>
            <w:tcW w:type="dxa" w:w="1440"/>
          </w:tcPr>
          <w:p>
            <w:r>
              <w:t>?/?</w:t>
            </w:r>
          </w:p>
        </w:tc>
        <w:tc>
          <w:tcPr>
            <w:tcW w:type="dxa" w:w="1440"/>
          </w:tcPr>
          <w:p>
            <w:r>
              <w:t>Same(?)</w:t>
            </w:r>
          </w:p>
        </w:tc>
        <w:tc>
          <w:tcPr>
            <w:tcW w:type="dxa" w:w="1440"/>
          </w:tcPr>
          <w:p>
            <w:r>
              <w:t>4</w:t>
            </w:r>
          </w:p>
        </w:tc>
        <w:tc>
          <w:tcPr>
            <w:tcW w:type="dxa" w:w="1440"/>
          </w:tcPr>
          <w:p>
            <w:r>
              <w:t>Single</w:t>
            </w:r>
          </w:p>
        </w:tc>
        <w:tc>
          <w:tcPr>
            <w:tcW w:type="dxa" w:w="1440"/>
          </w:tcPr>
          <w:p>
            <w:r>
              <w:t>3.91e-3</w:t>
            </w:r>
          </w:p>
        </w:tc>
        <w:tc>
          <w:tcPr>
            <w:tcW w:type="dxa" w:w="1440"/>
          </w:tcPr>
          <w:p>
            <w:r>
              <w:t>MULTI-FIELD (structure diff)</w:t>
            </w:r>
          </w:p>
        </w:tc>
      </w:tr>
      <w:tr>
        <w:tc>
          <w:tcPr>
            <w:tcW w:type="dxa" w:w="1440"/>
          </w:tcPr>
          <w:p>
            <w:r>
              <w:t>?/?</w:t>
            </w:r>
          </w:p>
        </w:tc>
        <w:tc>
          <w:tcPr>
            <w:tcW w:type="dxa" w:w="1440"/>
          </w:tcPr>
          <w:p>
            <w:r>
              <w:t>DIFFERENT</w:t>
            </w:r>
          </w:p>
        </w:tc>
        <w:tc>
          <w:tcPr>
            <w:tcW w:type="dxa" w:w="1440"/>
          </w:tcPr>
          <w:p>
            <w:r>
              <w:t>2</w:t>
            </w:r>
          </w:p>
        </w:tc>
        <w:tc>
          <w:tcPr>
            <w:tcW w:type="dxa" w:w="1440"/>
          </w:tcPr>
          <w:p>
            <w:r>
              <w:t>Single</w:t>
            </w:r>
          </w:p>
        </w:tc>
        <w:tc>
          <w:tcPr>
            <w:tcW w:type="dxa" w:w="1440"/>
          </w:tcPr>
          <w:p>
            <w:r>
              <w:t>7.81e-3</w:t>
            </w:r>
          </w:p>
        </w:tc>
        <w:tc>
          <w:tcPr>
            <w:tcW w:type="dxa" w:w="1440"/>
          </w:tcPr>
          <w:p>
            <w:r>
              <w:t>MULTI-FIELD (radical diff)</w:t>
            </w:r>
          </w:p>
        </w:tc>
      </w:tr>
    </w:tbl>
    <w:p>
      <w:r>
        <w:rPr>
          <w:rFonts w:ascii="Arial" w:hAnsi="Arial"/>
          <w:sz w:val="20"/>
        </w:rPr>
        <w:t>v3.0 Fix: Strategy B index allocation resolves the 3 zero-distance pairs by spreading them across the index space. While the resulting distance (3.73e-9) is small, it is non-zero - a significant improvement over the original v1 encoding where these pairs had IDENTICAL codes.</w:t>
      </w:r>
    </w:p>
    <w:p>
      <w:r>
        <w:rPr>
          <w:rFonts w:ascii="Arial" w:hAnsi="Arial"/>
          <w:sz w:val="20"/>
        </w:rPr>
        <w:t>6.2 Resolution Plan</w:t>
      </w:r>
    </w:p>
    <w:p>
      <w:r>
        <w:rPr>
          <w:rFonts w:ascii="Arial" w:hAnsi="Arial"/>
          <w:sz w:val="20"/>
        </w:rPr>
        <w:t>For v4.0: Add 2-3 dedicated stroke shape bits to directly encode the visual differences: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Pair</w:t>
            </w:r>
          </w:p>
        </w:tc>
        <w:tc>
          <w:tcPr>
            <w:tcW w:type="dxa" w:w="2880"/>
          </w:tcPr>
          <w:p>
            <w:r>
              <w:t>Visual Difference</w:t>
            </w:r>
          </w:p>
        </w:tc>
        <w:tc>
          <w:tcPr>
            <w:tcW w:type="dxa" w:w="2880"/>
          </w:tcPr>
          <w:p>
            <w:r>
              <w:t>Required Bits</w:t>
            </w:r>
          </w:p>
        </w:tc>
      </w:tr>
      <w:tr>
        <w:tc>
          <w:tcPr>
            <w:tcW w:type="dxa" w:w="2880"/>
          </w:tcPr>
          <w:p>
            <w:r>
              <w:t>?/?</w:t>
            </w:r>
          </w:p>
        </w:tc>
        <w:tc>
          <w:tcPr>
            <w:tcW w:type="dxa" w:w="2880"/>
          </w:tcPr>
          <w:p>
            <w:r>
              <w:t>Open vs closed top</w:t>
            </w:r>
          </w:p>
        </w:tc>
        <w:tc>
          <w:tcPr>
            <w:tcW w:type="dxa" w:w="2880"/>
          </w:tcPr>
          <w:p>
            <w:r>
              <w:t>2 bit</w:t>
            </w:r>
          </w:p>
        </w:tc>
      </w:tr>
      <w:tr>
        <w:tc>
          <w:tcPr>
            <w:tcW w:type="dxa" w:w="2880"/>
          </w:tcPr>
          <w:p>
            <w:r>
              <w:t>?/?</w:t>
            </w:r>
          </w:p>
        </w:tc>
        <w:tc>
          <w:tcPr>
            <w:tcW w:type="dxa" w:w="2880"/>
          </w:tcPr>
          <w:p>
            <w:r>
              <w:t>Horizontal stroke width</w:t>
            </w:r>
          </w:p>
        </w:tc>
        <w:tc>
          <w:tcPr>
            <w:tcW w:type="dxa" w:w="2880"/>
          </w:tcPr>
          <w:p>
            <w:r>
              <w:t>2 bit</w:t>
            </w:r>
          </w:p>
        </w:tc>
      </w:tr>
      <w:tr>
        <w:tc>
          <w:tcPr>
            <w:tcW w:type="dxa" w:w="2880"/>
          </w:tcPr>
          <w:p>
            <w:r>
              <w:t>?/?</w:t>
            </w:r>
          </w:p>
        </w:tc>
        <w:tc>
          <w:tcPr>
            <w:tcW w:type="dxa" w:w="2880"/>
          </w:tcPr>
          <w:p>
            <w:r>
              <w:t>Diagonal stroke angle</w:t>
            </w:r>
          </w:p>
        </w:tc>
        <w:tc>
          <w:tcPr>
            <w:tcW w:type="dxa" w:w="2880"/>
          </w:tcPr>
          <w:p>
            <w:r>
              <w:t>2 bit</w:t>
            </w:r>
          </w:p>
        </w:tc>
      </w:tr>
    </w:tbl>
    <w:p>
      <w:r>
        <w:br w:type="page"/>
      </w:r>
    </w:p>
    <w:p>
      <w:pPr>
        <w:pStyle w:val="Heading1"/>
      </w:pPr>
      <w:r>
        <w:rPr>
          <w:rFonts w:ascii="Arial" w:hAnsi="Arial"/>
        </w:rPr>
        <w:t>7. RISC-V Custom Instruction Extension</w:t>
      </w:r>
    </w:p>
    <w:p>
      <w:r>
        <w:rPr>
          <w:rFonts w:ascii="Arial" w:hAnsi="Arial"/>
          <w:sz w:val="20"/>
        </w:rPr>
        <w:t>7.1 Instruction Set Design</w:t>
      </w:r>
    </w:p>
    <w:p>
      <w:r>
        <w:rPr>
          <w:rFonts w:ascii="Arial" w:hAnsi="Arial"/>
          <w:sz w:val="20"/>
        </w:rPr>
        <w:t>Five CNBE instructions in RISC-V custom-0 opcode space (opcode=0x0B):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Instruction</w:t>
            </w:r>
          </w:p>
        </w:tc>
        <w:tc>
          <w:tcPr>
            <w:tcW w:type="dxa" w:w="1728"/>
          </w:tcPr>
          <w:p>
            <w:r>
              <w:t>Funct3</w:t>
            </w:r>
          </w:p>
        </w:tc>
        <w:tc>
          <w:tcPr>
            <w:tcW w:type="dxa" w:w="1728"/>
          </w:tcPr>
          <w:p>
            <w:r>
              <w:t>Format</w:t>
            </w:r>
          </w:p>
        </w:tc>
        <w:tc>
          <w:tcPr>
            <w:tcW w:type="dxa" w:w="1728"/>
          </w:tcPr>
          <w:p>
            <w:r>
              <w:t>Operation</w:t>
            </w:r>
          </w:p>
        </w:tc>
        <w:tc>
          <w:tcPr>
            <w:tcW w:type="dxa" w:w="1728"/>
          </w:tcPr>
          <w:p>
            <w:r>
              <w:t>Cycles</w:t>
            </w:r>
          </w:p>
        </w:tc>
      </w:tr>
      <w:tr>
        <w:tc>
          <w:tcPr>
            <w:tcW w:type="dxa" w:w="1728"/>
          </w:tcPr>
          <w:p>
            <w:r>
              <w:t>cnhe.extract</w:t>
            </w:r>
          </w:p>
        </w:tc>
        <w:tc>
          <w:tcPr>
            <w:tcW w:type="dxa" w:w="1728"/>
          </w:tcPr>
          <w:p>
            <w:r>
              <w:t>000</w:t>
            </w:r>
          </w:p>
        </w:tc>
        <w:tc>
          <w:tcPr>
            <w:tcW w:type="dxa" w:w="1728"/>
          </w:tcPr>
          <w:p>
            <w:r>
              <w:t>R-type</w:t>
            </w:r>
          </w:p>
        </w:tc>
        <w:tc>
          <w:tcPr>
            <w:tcW w:type="dxa" w:w="1728"/>
          </w:tcPr>
          <w:p>
            <w:r>
              <w:t>extract_field(rs1, rs2[1:0])</w:t>
            </w:r>
          </w:p>
        </w:tc>
        <w:tc>
          <w:tcPr>
            <w:tcW w:type="dxa" w:w="1728"/>
          </w:tcPr>
          <w:p>
            <w:r>
              <w:t>1</w:t>
            </w:r>
          </w:p>
        </w:tc>
      </w:tr>
      <w:tr>
        <w:tc>
          <w:tcPr>
            <w:tcW w:type="dxa" w:w="1728"/>
          </w:tcPr>
          <w:p>
            <w:r>
              <w:t>cnhe.cmp</w:t>
            </w:r>
          </w:p>
        </w:tc>
        <w:tc>
          <w:tcPr>
            <w:tcW w:type="dxa" w:w="1728"/>
          </w:tcPr>
          <w:p>
            <w:r>
              <w:t>001</w:t>
            </w:r>
          </w:p>
        </w:tc>
        <w:tc>
          <w:tcPr>
            <w:tcW w:type="dxa" w:w="1728"/>
          </w:tcPr>
          <w:p>
            <w:r>
              <w:t>R-type</w:t>
            </w:r>
          </w:p>
        </w:tc>
        <w:tc>
          <w:tcPr>
            <w:tcW w:type="dxa" w:w="1728"/>
          </w:tcPr>
          <w:p>
            <w:r>
              <w:t>weighted_distance(rs1, rs2)</w:t>
            </w:r>
          </w:p>
        </w:tc>
        <w:tc>
          <w:tcPr>
            <w:tcW w:type="dxa" w:w="1728"/>
          </w:tcPr>
          <w:p>
            <w:r>
              <w:t>2-3</w:t>
            </w:r>
          </w:p>
        </w:tc>
      </w:tr>
      <w:tr>
        <w:tc>
          <w:tcPr>
            <w:tcW w:type="dxa" w:w="1728"/>
          </w:tcPr>
          <w:p>
            <w:r>
              <w:t>cnhe.map</w:t>
            </w:r>
          </w:p>
        </w:tc>
        <w:tc>
          <w:tcPr>
            <w:tcW w:type="dxa" w:w="1728"/>
          </w:tcPr>
          <w:p>
            <w:r>
              <w:t>010</w:t>
            </w:r>
          </w:p>
        </w:tc>
        <w:tc>
          <w:tcPr>
            <w:tcW w:type="dxa" w:w="1728"/>
          </w:tcPr>
          <w:p>
            <w:r>
              <w:t>R-type</w:t>
            </w:r>
          </w:p>
        </w:tc>
        <w:tc>
          <w:tcPr>
            <w:tcW w:type="dxa" w:w="1728"/>
          </w:tcPr>
          <w:p>
            <w:r>
              <w:t>lookup_table[rs1]</w:t>
            </w:r>
          </w:p>
        </w:tc>
        <w:tc>
          <w:tcPr>
            <w:tcW w:type="dxa" w:w="1728"/>
          </w:tcPr>
          <w:p>
            <w:r>
              <w:t>1-2</w:t>
            </w:r>
          </w:p>
        </w:tc>
      </w:tr>
      <w:tr>
        <w:tc>
          <w:tcPr>
            <w:tcW w:type="dxa" w:w="1728"/>
          </w:tcPr>
          <w:p>
            <w:r>
              <w:t>cnhe.mv</w:t>
            </w:r>
          </w:p>
        </w:tc>
        <w:tc>
          <w:tcPr>
            <w:tcW w:type="dxa" w:w="1728"/>
          </w:tcPr>
          <w:p>
            <w:r>
              <w:t>011</w:t>
            </w:r>
          </w:p>
        </w:tc>
        <w:tc>
          <w:tcPr>
            <w:tcW w:type="dxa" w:w="1728"/>
          </w:tcPr>
          <w:p>
            <w:r>
              <w:t>R-type</w:t>
            </w:r>
          </w:p>
        </w:tc>
        <w:tc>
          <w:tcPr>
            <w:tcW w:type="dxa" w:w="1728"/>
          </w:tcPr>
          <w:p>
            <w:r>
              <w:t>merge(rs1&amp;mask, rs2&amp;~mask)</w:t>
            </w:r>
          </w:p>
        </w:tc>
        <w:tc>
          <w:tcPr>
            <w:tcW w:type="dxa" w:w="1728"/>
          </w:tcPr>
          <w:p>
            <w:r>
              <w:t>1</w:t>
            </w:r>
          </w:p>
        </w:tc>
      </w:tr>
      <w:tr>
        <w:tc>
          <w:tcPr>
            <w:tcW w:type="dxa" w:w="1728"/>
          </w:tcPr>
          <w:p>
            <w:r>
              <w:t>cnhe.enc</w:t>
            </w:r>
          </w:p>
        </w:tc>
        <w:tc>
          <w:tcPr>
            <w:tcW w:type="dxa" w:w="1728"/>
          </w:tcPr>
          <w:p>
            <w:r>
              <w:t>100</w:t>
            </w:r>
          </w:p>
        </w:tc>
        <w:tc>
          <w:tcPr>
            <w:tcW w:type="dxa" w:w="1728"/>
          </w:tcPr>
          <w:p>
            <w:r>
              <w:t>R-type</w:t>
            </w:r>
          </w:p>
        </w:tc>
        <w:tc>
          <w:tcPr>
            <w:tcW w:type="dxa" w:w="1728"/>
          </w:tcPr>
          <w:p>
            <w:r>
              <w:t>encode(components)</w:t>
            </w:r>
          </w:p>
        </w:tc>
        <w:tc>
          <w:tcPr>
            <w:tcW w:type="dxa" w:w="1728"/>
          </w:tcPr>
          <w:p>
            <w:r>
              <w:t>1</w:t>
            </w:r>
          </w:p>
        </w:tc>
      </w:tr>
    </w:tbl>
    <w:p>
      <w:r>
        <w:rPr>
          <w:rFonts w:ascii="Arial" w:hAnsi="Arial"/>
          <w:sz w:val="20"/>
        </w:rPr>
        <w:t>7.2 Simulation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Instruction</w:t>
            </w:r>
          </w:p>
        </w:tc>
        <w:tc>
          <w:tcPr>
            <w:tcW w:type="dxa" w:w="2160"/>
          </w:tcPr>
          <w:p>
            <w:r>
              <w:t>Test</w:t>
            </w:r>
          </w:p>
        </w:tc>
        <w:tc>
          <w:tcPr>
            <w:tcW w:type="dxa" w:w="2160"/>
          </w:tcPr>
          <w:p>
            <w:r>
              <w:t>Result</w:t>
            </w:r>
          </w:p>
        </w:tc>
        <w:tc>
          <w:tcPr>
            <w:tcW w:type="dxa" w:w="2160"/>
          </w:tcPr>
          <w:p>
            <w:r>
              <w:t>Status</w:t>
            </w:r>
          </w:p>
        </w:tc>
      </w:tr>
      <w:tr>
        <w:tc>
          <w:tcPr>
            <w:tcW w:type="dxa" w:w="2160"/>
          </w:tcPr>
          <w:p>
            <w:r>
              <w:t>cnhe.extract</w:t>
            </w:r>
          </w:p>
        </w:tc>
        <w:tc>
          <w:tcPr>
            <w:tcW w:type="dxa" w:w="2160"/>
          </w:tcPr>
          <w:p>
            <w:r>
              <w:t>tree radical extraction</w:t>
            </w:r>
          </w:p>
        </w:tc>
        <w:tc>
          <w:tcPr>
            <w:tcW w:type="dxa" w:w="2160"/>
          </w:tcPr>
          <w:p>
            <w:r>
              <w:t>0x4B (correct)</w:t>
            </w:r>
          </w:p>
        </w:tc>
        <w:tc>
          <w:tcPr>
            <w:tcW w:type="dxa" w:w="2160"/>
          </w:tcPr>
          <w:p>
            <w:r>
              <w:t>PASS</w:t>
            </w:r>
          </w:p>
        </w:tc>
      </w:tr>
      <w:tr>
        <w:tc>
          <w:tcPr>
            <w:tcW w:type="dxa" w:w="2160"/>
          </w:tcPr>
          <w:p>
            <w:r>
              <w:t>cnhe.cmp</w:t>
            </w:r>
          </w:p>
        </w:tc>
        <w:tc>
          <w:tcPr>
            <w:tcW w:type="dxa" w:w="2160"/>
          </w:tcPr>
          <w:p>
            <w:r>
              <w:t>tree vs forest</w:t>
            </w:r>
          </w:p>
        </w:tc>
        <w:tc>
          <w:tcPr>
            <w:tcW w:type="dxa" w:w="2160"/>
          </w:tcPr>
          <w:p>
            <w:r>
              <w:t>9110 (small)</w:t>
            </w:r>
          </w:p>
        </w:tc>
        <w:tc>
          <w:tcPr>
            <w:tcW w:type="dxa" w:w="2160"/>
          </w:tcPr>
          <w:p>
            <w:r>
              <w:t>PASS</w:t>
            </w:r>
          </w:p>
        </w:tc>
      </w:tr>
      <w:tr>
        <w:tc>
          <w:tcPr>
            <w:tcW w:type="dxa" w:w="2160"/>
          </w:tcPr>
          <w:p>
            <w:r>
              <w:t>cnhe.cmp</w:t>
            </w:r>
          </w:p>
        </w:tc>
        <w:tc>
          <w:tcPr>
            <w:tcW w:type="dxa" w:w="2160"/>
          </w:tcPr>
          <w:p>
            <w:r>
              <w:t>tree vs nation</w:t>
            </w:r>
          </w:p>
        </w:tc>
        <w:tc>
          <w:tcPr>
            <w:tcW w:type="dxa" w:w="2160"/>
          </w:tcPr>
          <w:p>
            <w:r>
              <w:t>141233 (large)</w:t>
            </w:r>
          </w:p>
        </w:tc>
        <w:tc>
          <w:tcPr>
            <w:tcW w:type="dxa" w:w="2160"/>
          </w:tcPr>
          <w:p>
            <w:r>
              <w:t>PASS</w:t>
            </w:r>
          </w:p>
        </w:tc>
      </w:tr>
      <w:tr>
        <w:tc>
          <w:tcPr>
            <w:tcW w:type="dxa" w:w="2160"/>
          </w:tcPr>
          <w:p>
            <w:r>
              <w:t>cnhe.mv</w:t>
            </w:r>
          </w:p>
        </w:tc>
        <w:tc>
          <w:tcPr>
            <w:tcW w:type="dxa" w:w="2160"/>
          </w:tcPr>
          <w:p>
            <w:r>
              <w:t>radical merge</w:t>
            </w:r>
          </w:p>
        </w:tc>
        <w:tc>
          <w:tcPr>
            <w:tcW w:type="dxa" w:w="2160"/>
          </w:tcPr>
          <w:p>
            <w:r>
              <w:t>Correct</w:t>
            </w:r>
          </w:p>
        </w:tc>
        <w:tc>
          <w:tcPr>
            <w:tcW w:type="dxa" w:w="2160"/>
          </w:tcPr>
          <w:p>
            <w:r>
              <w:t>PASS</w:t>
            </w:r>
          </w:p>
        </w:tc>
      </w:tr>
      <w:tr>
        <w:tc>
          <w:tcPr>
            <w:tcW w:type="dxa" w:w="2160"/>
          </w:tcPr>
          <w:p>
            <w:r>
              <w:t>cnhe.enc</w:t>
            </w:r>
          </w:p>
        </w:tc>
        <w:tc>
          <w:tcPr>
            <w:tcW w:type="dxa" w:w="2160"/>
          </w:tcPr>
          <w:p>
            <w:r>
              <w:t>encode round-trip</w:t>
            </w:r>
          </w:p>
        </w:tc>
        <w:tc>
          <w:tcPr>
            <w:tcW w:type="dxa" w:w="2160"/>
          </w:tcPr>
          <w:p>
            <w:r>
              <w:t>Match verified</w:t>
            </w:r>
          </w:p>
        </w:tc>
        <w:tc>
          <w:tcPr>
            <w:tcW w:type="dxa" w:w="2160"/>
          </w:tcPr>
          <w:p>
            <w:r>
              <w:t>PASS</w:t>
            </w:r>
          </w:p>
        </w:tc>
      </w:tr>
    </w:tbl>
    <w:p>
      <w:r>
        <w:rPr>
          <w:rFonts w:ascii="Arial" w:hAnsi="Arial"/>
          <w:sz w:val="20"/>
        </w:rPr>
        <w:t>Hardware considerations: cnhe.map requires 97,686 x 6 bytes = 586 KB lookup table. Can be stored in dedicated ROM or synthesized as CAM with 15-bit hashing. Pipeline can execute extract/mv/enc in single cycle. cmp requires 2-3 cycles for multiply-accumulate.</w:t>
      </w:r>
    </w:p>
    <w:p>
      <w:r>
        <w:br w:type="page"/>
      </w:r>
    </w:p>
    <w:p>
      <w:pPr>
        <w:pStyle w:val="Heading1"/>
      </w:pPr>
      <w:r>
        <w:rPr>
          <w:rFonts w:ascii="Arial" w:hAnsi="Arial"/>
        </w:rPr>
        <w:t>8. Conclusions and Future Work</w:t>
      </w:r>
    </w:p>
    <w:p>
      <w:r>
        <w:rPr>
          <w:rFonts w:ascii="Arial" w:hAnsi="Arial"/>
          <w:sz w:val="20"/>
        </w:rPr>
        <w:t>8.1 Summary of Contributions</w:t>
      </w:r>
    </w:p>
    <w:p>
      <w:r>
        <w:rPr>
          <w:rFonts w:ascii="Arial" w:hAnsi="Arial"/>
          <w:sz w:val="20"/>
        </w:rPr>
        <w:t>1. Structural encoding: Radical, stroke count, and structure type directly embedded in 32-bit codes. Verified: 99.94% radical accuracy, 543x code space separation.</w:t>
      </w:r>
    </w:p>
    <w:p>
      <w:r>
        <w:rPr>
          <w:rFonts w:ascii="Arial" w:hAnsi="Arial"/>
          <w:sz w:val="20"/>
        </w:rPr>
        <w:t>2. CJK completeness: All 97,686 CJK characters encoded with zero collisions. 10 Unicode blocks, all 214 Kangxi radicals.</w:t>
      </w:r>
    </w:p>
    <w:p>
      <w:r>
        <w:rPr>
          <w:rFonts w:ascii="Arial" w:hAnsi="Arial"/>
          <w:sz w:val="20"/>
        </w:rPr>
        <w:t>3. Confusable resolution: Strategy B index allocation provides non-zero separation for 3 previously-colliding confusable pairs. Limitations identified for stroke-shape differences (planned for v4.0).</w:t>
      </w:r>
    </w:p>
    <w:p>
      <w:r>
        <w:rPr>
          <w:rFonts w:ascii="Arial" w:hAnsi="Arial"/>
          <w:sz w:val="20"/>
        </w:rPr>
        <w:t>4. Hardware acceleration: 5 RISC-V custom instructions validated. Lookup table design for cnhe.map. Cycle-accurate estimates provided.</w:t>
      </w:r>
    </w:p>
    <w:p>
      <w:r>
        <w:rPr>
          <w:rFonts w:ascii="Arial" w:hAnsi="Arial"/>
          <w:sz w:val="20"/>
        </w:rPr>
        <w:t>5. Experimental validation: 11 experiments across 4 layers (foundation, application, enhancement, practical). All results reproducible.</w:t>
      </w:r>
    </w:p>
    <w:p>
      <w:r>
        <w:rPr>
          <w:rFonts w:ascii="Arial" w:hAnsi="Arial"/>
          <w:sz w:val="20"/>
        </w:rPr>
        <w:t>License: Mulan Public License v2 (??????? v2)</w:t>
      </w:r>
    </w:p>
    <w:p>
      <w:r>
        <w:rPr>
          <w:rFonts w:ascii="Arial" w:hAnsi="Arial"/>
          <w:sz w:val="20"/>
        </w:rPr>
        <w:t>8.2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Limitation</w:t>
            </w:r>
          </w:p>
        </w:tc>
        <w:tc>
          <w:tcPr>
            <w:tcW w:type="dxa" w:w="2880"/>
          </w:tcPr>
          <w:p>
            <w:r>
              <w:t>Severity</w:t>
            </w:r>
          </w:p>
        </w:tc>
        <w:tc>
          <w:tcPr>
            <w:tcW w:type="dxa" w:w="2880"/>
          </w:tcPr>
          <w:p>
            <w:r>
              <w:t>Planned Fix</w:t>
            </w:r>
          </w:p>
        </w:tc>
      </w:tr>
      <w:tr>
        <w:tc>
          <w:tcPr>
            <w:tcW w:type="dxa" w:w="2880"/>
          </w:tcPr>
          <w:p>
            <w:r>
              <w:t>Stroke-shape distinction</w:t>
            </w:r>
          </w:p>
        </w:tc>
        <w:tc>
          <w:tcPr>
            <w:tcW w:type="dxa" w:w="2880"/>
          </w:tcPr>
          <w:p>
            <w:r>
              <w:t>High</w:t>
            </w:r>
          </w:p>
        </w:tc>
        <w:tc>
          <w:tcPr>
            <w:tcW w:type="dxa" w:w="2880"/>
          </w:tcPr>
          <w:p>
            <w:r>
              <w:t>Add 2-3 stroke shape bits in v4.0</w:t>
            </w:r>
          </w:p>
        </w:tc>
      </w:tr>
      <w:tr>
        <w:tc>
          <w:tcPr>
            <w:tcW w:type="dxa" w:w="2880"/>
          </w:tcPr>
          <w:p>
            <w:r>
              <w:t>Structure entropy (0.84 bits)</w:t>
            </w:r>
          </w:p>
        </w:tc>
        <w:tc>
          <w:tcPr>
            <w:tcW w:type="dxa" w:w="2880"/>
          </w:tcPr>
          <w:p>
            <w:r>
              <w:t>Medium</w:t>
            </w:r>
          </w:p>
        </w:tc>
        <w:tc>
          <w:tcPr>
            <w:tcW w:type="dxa" w:w="2880"/>
          </w:tcPr>
          <w:p>
            <w:r>
              <w:t>Expand to 16 types</w:t>
            </w:r>
          </w:p>
        </w:tc>
      </w:tr>
      <w:tr>
        <w:tc>
          <w:tcPr>
            <w:tcW w:type="dxa" w:w="2880"/>
          </w:tcPr>
          <w:p>
            <w:r>
              <w:t>Fusion bottleneck</w:t>
            </w:r>
          </w:p>
        </w:tc>
        <w:tc>
          <w:tcPr>
            <w:tcW w:type="dxa" w:w="2880"/>
          </w:tcPr>
          <w:p>
            <w:r>
              <w:t>Medium</w:t>
            </w:r>
          </w:p>
        </w:tc>
        <w:tc>
          <w:tcPr>
            <w:tcW w:type="dxa" w:w="2880"/>
          </w:tcPr>
          <w:p>
            <w:r>
              <w:t>Improve projection architecture</w:t>
            </w:r>
          </w:p>
        </w:tc>
      </w:tr>
      <w:tr>
        <w:tc>
          <w:tcPr>
            <w:tcW w:type="dxa" w:w="2880"/>
          </w:tcPr>
          <w:p>
            <w:r>
              <w:t>Full 97K LM training</w:t>
            </w:r>
          </w:p>
        </w:tc>
        <w:tc>
          <w:tcPr>
            <w:tcW w:type="dxa" w:w="2880"/>
          </w:tcPr>
          <w:p>
            <w:r>
              <w:t>Medium</w:t>
            </w:r>
          </w:p>
        </w:tc>
        <w:tc>
          <w:tcPr>
            <w:tcW w:type="dxa" w:w="2880"/>
          </w:tcPr>
          <w:p>
            <w:r>
              <w:t>GPU-based training</w:t>
            </w:r>
          </w:p>
        </w:tc>
      </w:tr>
    </w:tbl>
    <w:p>
      <w:r>
        <w:rPr>
          <w:rFonts w:ascii="Arial" w:hAnsi="Arial"/>
          <w:sz w:val="20"/>
        </w:rPr>
        <w:t>8.3 Future Work</w:t>
      </w:r>
    </w:p>
    <w:p>
      <w:r>
        <w:rPr>
          <w:rFonts w:ascii="Arial" w:hAnsi="Arial"/>
          <w:sz w:val="20"/>
        </w:rPr>
        <w:t>v4.0 will introduce dedicated stroke shape encoding bits, expanding the code to 35-40 bits while maintaining backward compatibility. Structure types will expand from 9 to 16 via component-level decomposition. Full 97,686-char LM training on GPU. Standardization proposal for RISC-V International.</w:t>
      </w:r>
    </w:p>
    <w:p>
      <w:r>
        <w:rPr>
          <w:rFonts w:ascii="Arial" w:hAnsi="Arial"/>
          <w:sz w:val="20"/>
        </w:rPr>
        <w:t>8.4 Repository and Resources</w:t>
      </w:r>
    </w:p>
    <w:p>
      <w:r>
        <w:rPr>
          <w:rFonts w:ascii="Arial" w:hAnsi="Arial"/>
          <w:sz w:val="20"/>
        </w:rPr>
        <w:t>GitHub: github.com/zairkliu/CNBE-32-Chinese-Native-Binary-Encoding</w:t>
      </w:r>
    </w:p>
    <w:p>
      <w:r>
        <w:rPr>
          <w:rFonts w:ascii="Arial" w:hAnsi="Arial"/>
          <w:sz w:val="20"/>
        </w:rPr>
        <w:t>License: Mulan Public License v2 (??????? v2)</w:t>
      </w:r>
    </w:p>
    <w:p>
      <w:r>
        <w:rPr>
          <w:rFonts w:ascii="Arial" w:hAnsi="Arial"/>
          <w:sz w:val="20"/>
        </w:rPr>
        <w:t>Encoding data: 97,686-character CNBE-32 catalog (v2 fix, Strategy B)</w:t>
      </w:r>
    </w:p>
    <w:p>
      <w:r>
        <w:rPr>
          <w:rFonts w:ascii="Arial" w:hAnsi="Arial"/>
          <w:sz w:val="20"/>
        </w:rPr>
        <w:t>Simulator: Python RISC-V CNHE instruction simulator</w:t>
      </w:r>
    </w:p>
    <w:p>
      <w:r>
        <w:rPr>
          <w:rFonts w:ascii="Arial" w:hAnsi="Arial"/>
          <w:sz w:val="20"/>
        </w:rPr>
        <w:t>Ripes config: Custom instruction JSON for RISC-V verification</w:t>
      </w:r>
    </w:p>
    <w:p>
      <w:r>
        <w:rPr>
          <w:rFonts w:ascii="Arial" w:hAnsi="Arial"/>
          <w:sz w:val="20"/>
        </w:rPr>
      </w:r>
    </w:p>
    <w:p>
      <w:r>
        <w:rPr>
          <w:rFonts w:ascii="Arial" w:hAnsi="Arial"/>
          <w:sz w:val="20"/>
        </w:rPr>
        <w:t>References: [1] Unicode Unihan Database V17 [2] GB 18030-2022 [3] RISC-V Unprivileged Spec v20191213 [4] Mikolov et al. ICLR 2013</w:t>
      </w:r>
    </w:p>
    <w:p>
      <w:r>
        <w:rPr>
          <w:rFonts w:ascii="Arial" w:hAnsi="Arial"/>
          <w:sz w:val="20"/>
        </w:rPr>
        <w:t>--- End of Document ---</w:t>
      </w:r>
    </w:p>
    <w:p>
      <w:pPr>
        <w:pStyle w:val="Heading1"/>
      </w:pPr>
      <w:r>
        <w:rPr>
          <w:rFonts w:ascii="Arial" w:hAnsi="Arial" w:eastAsia="SimSun"/>
          <w:b w:val="0"/>
          <w:sz w:val="32"/>
        </w:rPr>
        <w:t>9. GB 18030-2022 Compatibility and Comparison</w:t>
      </w:r>
    </w:p>
    <w:p>
      <w:pPr>
        <w:pStyle w:val="Heading2"/>
      </w:pPr>
      <w:r>
        <w:rPr>
          <w:rFonts w:ascii="Arial" w:hAnsi="Arial" w:eastAsia="SimSun"/>
          <w:b w:val="0"/>
          <w:sz w:val="26"/>
        </w:rPr>
        <w:t>9.1 Background</w:t>
      </w:r>
    </w:p>
    <w:p>
      <w:r>
        <w:rPr>
          <w:rFonts w:ascii="Arial" w:hAnsi="Arial" w:eastAsia="SimSun"/>
          <w:b w:val="0"/>
          <w:sz w:val="20"/>
        </w:rPr>
        <w:t>GB 18030-2022 "Information Technology — Chinese Coded Character Set" is the mandatory national standard for Chinese character encoding in the People's Republic of China. It replaced GB 18030-2000 and supersedes GBK and GB2312. The current version covers 87,887 CJK characters and is legally required for all information systems sold or deployed in China. CNBE-32 provides a complementary semantic encoding layer that can operate alongside GB 18030-2022 in AI processing and hardware acceleration contexts.</w:t>
      </w:r>
    </w:p>
    <w:p>
      <w:pPr>
        <w:pStyle w:val="Heading2"/>
      </w:pPr>
      <w:r>
        <w:rPr>
          <w:rFonts w:ascii="Arial" w:hAnsi="Arial" w:eastAsia="SimSun"/>
          <w:b w:val="0"/>
          <w:sz w:val="26"/>
        </w:rPr>
        <w:t>9.2 Coverage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eastAsia="SimSun"/>
                <w:b/>
                <w:sz w:val="20"/>
              </w:rPr>
              <w:t>Aspect</w:t>
            </w:r>
          </w:p>
        </w:tc>
        <w:tc>
          <w:tcPr>
            <w:tcW w:type="dxa" w:w="2160"/>
          </w:tcPr>
          <w:p>
            <w:r>
              <w:rPr>
                <w:rFonts w:ascii="Arial" w:hAnsi="Arial" w:eastAsia="SimSun"/>
                <w:b/>
                <w:sz w:val="20"/>
              </w:rPr>
              <w:t>GB 18030-2022</w:t>
            </w:r>
          </w:p>
        </w:tc>
        <w:tc>
          <w:tcPr>
            <w:tcW w:type="dxa" w:w="2160"/>
          </w:tcPr>
          <w:p>
            <w:r>
              <w:rPr>
                <w:rFonts w:ascii="Arial" w:hAnsi="Arial" w:eastAsia="SimSun"/>
                <w:b/>
                <w:sz w:val="20"/>
              </w:rPr>
              <w:t>CNBE-32</w:t>
            </w:r>
          </w:p>
        </w:tc>
        <w:tc>
          <w:tcPr>
            <w:tcW w:type="dxa" w:w="2160"/>
          </w:tcPr>
          <w:p>
            <w:r>
              <w:rPr>
                <w:rFonts w:ascii="Arial" w:hAnsi="Arial" w:eastAsia="SimSun"/>
                <w:b/>
                <w:sz w:val="20"/>
              </w:rPr>
              <w:t>Difference</w:t>
            </w:r>
          </w:p>
        </w:tc>
      </w:tr>
      <w:tr>
        <w:tc>
          <w:tcPr>
            <w:tcW w:type="dxa" w:w="2160"/>
          </w:tcPr>
          <w:p>
            <w:r>
              <w:rPr>
                <w:rFonts w:ascii="Arial" w:hAnsi="Arial" w:eastAsia="SimSun"/>
                <w:b w:val="0"/>
                <w:sz w:val="20"/>
              </w:rPr>
              <w:t>CJK Characters</w:t>
            </w:r>
          </w:p>
        </w:tc>
        <w:tc>
          <w:tcPr>
            <w:tcW w:type="dxa" w:w="2160"/>
          </w:tcPr>
          <w:p>
            <w:r>
              <w:rPr>
                <w:rFonts w:ascii="Arial" w:hAnsi="Arial" w:eastAsia="SimSun"/>
                <w:b w:val="0"/>
                <w:sz w:val="20"/>
              </w:rPr>
              <w:t>87,887</w:t>
            </w:r>
          </w:p>
        </w:tc>
        <w:tc>
          <w:tcPr>
            <w:tcW w:type="dxa" w:w="2160"/>
          </w:tcPr>
          <w:p>
            <w:r>
              <w:rPr>
                <w:rFonts w:ascii="Arial" w:hAnsi="Arial" w:eastAsia="SimSun"/>
                <w:b w:val="0"/>
                <w:sz w:val="20"/>
              </w:rPr>
              <w:t>97,686</w:t>
            </w:r>
          </w:p>
        </w:tc>
        <w:tc>
          <w:tcPr>
            <w:tcW w:type="dxa" w:w="2160"/>
          </w:tcPr>
          <w:p>
            <w:r>
              <w:rPr>
                <w:rFonts w:ascii="Arial" w:hAnsi="Arial" w:eastAsia="SimSun"/>
                <w:b w:val="0"/>
                <w:sz w:val="20"/>
              </w:rPr>
              <w:t>CNBE +9,799 (+11.1%)</w:t>
            </w:r>
          </w:p>
        </w:tc>
      </w:tr>
      <w:tr>
        <w:tc>
          <w:tcPr>
            <w:tcW w:type="dxa" w:w="2160"/>
          </w:tcPr>
          <w:p>
            <w:r>
              <w:rPr>
                <w:rFonts w:ascii="Arial" w:hAnsi="Arial" w:eastAsia="SimSun"/>
                <w:b w:val="0"/>
                <w:sz w:val="20"/>
              </w:rPr>
              <w:t>Unicode Version</w:t>
            </w:r>
          </w:p>
        </w:tc>
        <w:tc>
          <w:tcPr>
            <w:tcW w:type="dxa" w:w="2160"/>
          </w:tcPr>
          <w:p>
            <w:r>
              <w:rPr>
                <w:rFonts w:ascii="Arial" w:hAnsi="Arial" w:eastAsia="SimSun"/>
                <w:b w:val="0"/>
                <w:sz w:val="20"/>
              </w:rPr>
              <w:t>Partial (16.0)</w:t>
            </w:r>
          </w:p>
        </w:tc>
        <w:tc>
          <w:tcPr>
            <w:tcW w:type="dxa" w:w="2160"/>
          </w:tcPr>
          <w:p>
            <w:r>
              <w:rPr>
                <w:rFonts w:ascii="Arial" w:hAnsi="Arial" w:eastAsia="SimSun"/>
                <w:b w:val="0"/>
                <w:sz w:val="20"/>
              </w:rPr>
              <w:t>Full (17.0.0)</w:t>
            </w:r>
          </w:p>
        </w:tc>
        <w:tc>
          <w:tcPr>
            <w:tcW w:type="dxa" w:w="2160"/>
          </w:tcPr>
          <w:p>
            <w:r>
              <w:rPr>
                <w:rFonts w:ascii="Arial" w:hAnsi="Arial" w:eastAsia="SimSun"/>
                <w:b w:val="0"/>
                <w:sz w:val="20"/>
              </w:rPr>
              <w:t>CNBE wider coverage</w:t>
            </w:r>
          </w:p>
        </w:tc>
      </w:tr>
      <w:tr>
        <w:tc>
          <w:tcPr>
            <w:tcW w:type="dxa" w:w="2160"/>
          </w:tcPr>
          <w:p>
            <w:r>
              <w:rPr>
                <w:rFonts w:ascii="Arial" w:hAnsi="Arial" w:eastAsia="SimSun"/>
                <w:b w:val="0"/>
                <w:sz w:val="20"/>
              </w:rPr>
              <w:t>Kangxi Radicals</w:t>
            </w:r>
          </w:p>
        </w:tc>
        <w:tc>
          <w:tcPr>
            <w:tcW w:type="dxa" w:w="2160"/>
          </w:tcPr>
          <w:p>
            <w:r>
              <w:rPr>
                <w:rFonts w:ascii="Arial" w:hAnsi="Arial" w:eastAsia="SimSun"/>
                <w:b w:val="0"/>
                <w:sz w:val="20"/>
              </w:rPr>
              <w:t>Not explicitly encoded</w:t>
            </w:r>
          </w:p>
        </w:tc>
        <w:tc>
          <w:tcPr>
            <w:tcW w:type="dxa" w:w="2160"/>
          </w:tcPr>
          <w:p>
            <w:r>
              <w:rPr>
                <w:rFonts w:ascii="Arial" w:hAnsi="Arial" w:eastAsia="SimSun"/>
                <w:b w:val="0"/>
                <w:sz w:val="20"/>
              </w:rPr>
              <w:t>214/214 (8-bit field)</w:t>
            </w:r>
          </w:p>
        </w:tc>
        <w:tc>
          <w:tcPr>
            <w:tcW w:type="dxa" w:w="2160"/>
          </w:tcPr>
          <w:p>
            <w:r>
              <w:rPr>
                <w:rFonts w:ascii="Arial" w:hAnsi="Arial" w:eastAsia="SimSun"/>
                <w:b w:val="0"/>
                <w:sz w:val="20"/>
              </w:rPr>
              <w:t>CNBE explicit structural encoding</w:t>
            </w:r>
          </w:p>
        </w:tc>
      </w:tr>
      <w:tr>
        <w:tc>
          <w:tcPr>
            <w:tcW w:type="dxa" w:w="2160"/>
          </w:tcPr>
          <w:p>
            <w:r>
              <w:rPr>
                <w:rFonts w:ascii="Arial" w:hAnsi="Arial" w:eastAsia="SimSun"/>
                <w:b w:val="0"/>
                <w:sz w:val="20"/>
              </w:rPr>
              <w:t>Structure Information</w:t>
            </w:r>
          </w:p>
        </w:tc>
        <w:tc>
          <w:tcPr>
            <w:tcW w:type="dxa" w:w="2160"/>
          </w:tcPr>
          <w:p>
            <w:r>
              <w:rPr>
                <w:rFonts w:ascii="Arial" w:hAnsi="Arial" w:eastAsia="SimSun"/>
                <w:b w:val="0"/>
                <w:sz w:val="20"/>
              </w:rPr>
              <w:t>None (flat identifier)</w:t>
            </w:r>
          </w:p>
        </w:tc>
        <w:tc>
          <w:tcPr>
            <w:tcW w:type="dxa" w:w="2160"/>
          </w:tcPr>
          <w:p>
            <w:r>
              <w:rPr>
                <w:rFonts w:ascii="Arial" w:hAnsi="Arial" w:eastAsia="SimSun"/>
                <w:b w:val="0"/>
                <w:sz w:val="20"/>
              </w:rPr>
              <w:t>9 types (4-bit field)</w:t>
            </w:r>
          </w:p>
        </w:tc>
        <w:tc>
          <w:tcPr>
            <w:tcW w:type="dxa" w:w="2160"/>
          </w:tcPr>
          <w:p>
            <w:r>
              <w:rPr>
                <w:rFonts w:ascii="Arial" w:hAnsi="Arial" w:eastAsia="SimSun"/>
                <w:b w:val="0"/>
                <w:sz w:val="20"/>
              </w:rPr>
              <w:t>CNBE unique semantic encoding</w:t>
            </w:r>
          </w:p>
        </w:tc>
      </w:tr>
      <w:tr>
        <w:tc>
          <w:tcPr>
            <w:tcW w:type="dxa" w:w="2160"/>
          </w:tcPr>
          <w:p>
            <w:r>
              <w:rPr>
                <w:rFonts w:ascii="Arial" w:hAnsi="Arial" w:eastAsia="SimSun"/>
                <w:b w:val="0"/>
                <w:sz w:val="20"/>
              </w:rPr>
              <w:t>Hardware Support</w:t>
            </w:r>
          </w:p>
        </w:tc>
        <w:tc>
          <w:tcPr>
            <w:tcW w:type="dxa" w:w="2160"/>
          </w:tcPr>
          <w:p>
            <w:r>
              <w:rPr>
                <w:rFonts w:ascii="Arial" w:hAnsi="Arial" w:eastAsia="SimSun"/>
                <w:b w:val="0"/>
                <w:sz w:val="20"/>
              </w:rPr>
              <w:t>None</w:t>
            </w:r>
          </w:p>
        </w:tc>
        <w:tc>
          <w:tcPr>
            <w:tcW w:type="dxa" w:w="2160"/>
          </w:tcPr>
          <w:p>
            <w:r>
              <w:rPr>
                <w:rFonts w:ascii="Arial" w:hAnsi="Arial" w:eastAsia="SimSun"/>
                <w:b w:val="0"/>
                <w:sz w:val="20"/>
              </w:rPr>
              <w:t>5 RISC-V custom instructions</w:t>
            </w:r>
          </w:p>
        </w:tc>
        <w:tc>
          <w:tcPr>
            <w:tcW w:type="dxa" w:w="2160"/>
          </w:tcPr>
          <w:p>
            <w:r>
              <w:rPr>
                <w:rFonts w:ascii="Arial" w:hAnsi="Arial" w:eastAsia="SimSun"/>
                <w:b w:val="0"/>
                <w:sz w:val="20"/>
              </w:rPr>
              <w:t>CNBE hardware-native capability</w:t>
            </w:r>
          </w:p>
        </w:tc>
      </w:tr>
    </w:tbl>
    <w:p>
      <w:pPr>
        <w:pStyle w:val="Heading2"/>
      </w:pPr>
      <w:r>
        <w:rPr>
          <w:rFonts w:ascii="Arial" w:hAnsi="Arial" w:eastAsia="SimSun"/>
          <w:b w:val="0"/>
          <w:sz w:val="26"/>
        </w:rPr>
        <w:t>9.3 Encoding Format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Arial" w:hAnsi="Arial" w:eastAsia="SimSun"/>
                <w:b/>
                <w:sz w:val="20"/>
              </w:rPr>
              <w:t>Feature</w:t>
            </w:r>
          </w:p>
        </w:tc>
        <w:tc>
          <w:tcPr>
            <w:tcW w:type="dxa" w:w="2880"/>
          </w:tcPr>
          <w:p>
            <w:r>
              <w:rPr>
                <w:rFonts w:ascii="Arial" w:hAnsi="Arial" w:eastAsia="SimSun"/>
                <w:b/>
                <w:sz w:val="20"/>
              </w:rPr>
              <w:t>GB 18030-2022</w:t>
            </w:r>
          </w:p>
        </w:tc>
        <w:tc>
          <w:tcPr>
            <w:tcW w:type="dxa" w:w="2880"/>
          </w:tcPr>
          <w:p>
            <w:r>
              <w:rPr>
                <w:rFonts w:ascii="Arial" w:hAnsi="Arial" w:eastAsia="SimSun"/>
                <w:b/>
                <w:sz w:val="20"/>
              </w:rPr>
              <w:t>CNBE-32</w:t>
            </w:r>
          </w:p>
        </w:tc>
      </w:tr>
      <w:tr>
        <w:tc>
          <w:tcPr>
            <w:tcW w:type="dxa" w:w="2880"/>
          </w:tcPr>
          <w:p>
            <w:r>
              <w:rPr>
                <w:rFonts w:ascii="Arial" w:hAnsi="Arial" w:eastAsia="SimSun"/>
                <w:b w:val="0"/>
                <w:sz w:val="20"/>
              </w:rPr>
              <w:t>Encoding Width</w:t>
            </w:r>
          </w:p>
        </w:tc>
        <w:tc>
          <w:tcPr>
            <w:tcW w:type="dxa" w:w="2880"/>
          </w:tcPr>
          <w:p>
            <w:r>
              <w:rPr>
                <w:rFonts w:ascii="Arial" w:hAnsi="Arial" w:eastAsia="SimSun"/>
                <w:b w:val="0"/>
                <w:sz w:val="20"/>
              </w:rPr>
              <w:t>Variable 1/2/4 bytes</w:t>
            </w:r>
          </w:p>
        </w:tc>
        <w:tc>
          <w:tcPr>
            <w:tcW w:type="dxa" w:w="2880"/>
          </w:tcPr>
          <w:p>
            <w:r>
              <w:rPr>
                <w:rFonts w:ascii="Arial" w:hAnsi="Arial" w:eastAsia="SimSun"/>
                <w:b w:val="0"/>
                <w:sz w:val="20"/>
              </w:rPr>
              <w:t>Fixed 32 bits / 4 bytes</w:t>
            </w:r>
          </w:p>
        </w:tc>
      </w:tr>
      <w:tr>
        <w:tc>
          <w:tcPr>
            <w:tcW w:type="dxa" w:w="2880"/>
          </w:tcPr>
          <w:p>
            <w:r>
              <w:rPr>
                <w:rFonts w:ascii="Arial" w:hAnsi="Arial" w:eastAsia="SimSun"/>
                <w:b w:val="0"/>
                <w:sz w:val="20"/>
              </w:rPr>
              <w:t>Address Space</w:t>
            </w:r>
          </w:p>
        </w:tc>
        <w:tc>
          <w:tcPr>
            <w:tcW w:type="dxa" w:w="2880"/>
          </w:tcPr>
          <w:p>
            <w:r>
              <w:rPr>
                <w:rFonts w:ascii="Arial" w:hAnsi="Arial" w:eastAsia="SimSun"/>
                <w:b w:val="0"/>
                <w:sz w:val="20"/>
              </w:rPr>
              <w:t>About 1 million codepoints</w:t>
            </w:r>
          </w:p>
        </w:tc>
        <w:tc>
          <w:tcPr>
            <w:tcW w:type="dxa" w:w="2880"/>
          </w:tcPr>
          <w:p>
            <w:r>
              <w:rPr>
                <w:rFonts w:ascii="Arial" w:hAnsi="Arial" w:eastAsia="SimSun"/>
                <w:b w:val="0"/>
                <w:sz w:val="20"/>
              </w:rPr>
              <w:t>4.3 billion codepoints</w:t>
            </w:r>
          </w:p>
        </w:tc>
      </w:tr>
      <w:tr>
        <w:tc>
          <w:tcPr>
            <w:tcW w:type="dxa" w:w="2880"/>
          </w:tcPr>
          <w:p>
            <w:r>
              <w:rPr>
                <w:rFonts w:ascii="Arial" w:hAnsi="Arial" w:eastAsia="SimSun"/>
                <w:b w:val="0"/>
                <w:sz w:val="20"/>
              </w:rPr>
              <w:t>Character Semantics</w:t>
            </w:r>
          </w:p>
        </w:tc>
        <w:tc>
          <w:tcPr>
            <w:tcW w:type="dxa" w:w="2880"/>
          </w:tcPr>
          <w:p>
            <w:r>
              <w:rPr>
                <w:rFonts w:ascii="Arial" w:hAnsi="Arial" w:eastAsia="SimSun"/>
                <w:b w:val="0"/>
                <w:sz w:val="20"/>
              </w:rPr>
              <w:t>None (identifier only)</w:t>
            </w:r>
          </w:p>
        </w:tc>
        <w:tc>
          <w:tcPr>
            <w:tcW w:type="dxa" w:w="2880"/>
          </w:tcPr>
          <w:p>
            <w:r>
              <w:rPr>
                <w:rFonts w:ascii="Arial" w:hAnsi="Arial" w:eastAsia="SimSun"/>
                <w:b w:val="0"/>
                <w:sz w:val="20"/>
              </w:rPr>
              <w:t>Structural (embedded bit-fields)</w:t>
            </w:r>
          </w:p>
        </w:tc>
      </w:tr>
      <w:tr>
        <w:tc>
          <w:tcPr>
            <w:tcW w:type="dxa" w:w="2880"/>
          </w:tcPr>
          <w:p>
            <w:r>
              <w:rPr>
                <w:rFonts w:ascii="Arial" w:hAnsi="Arial" w:eastAsia="SimSun"/>
                <w:b w:val="0"/>
                <w:sz w:val="20"/>
              </w:rPr>
              <w:t>AI Readability</w:t>
            </w:r>
          </w:p>
        </w:tc>
        <w:tc>
          <w:tcPr>
            <w:tcW w:type="dxa" w:w="2880"/>
          </w:tcPr>
          <w:p>
            <w:r>
              <w:rPr>
                <w:rFonts w:ascii="Arial" w:hAnsi="Arial" w:eastAsia="SimSun"/>
                <w:b w:val="0"/>
                <w:sz w:val="20"/>
              </w:rPr>
              <w:t>None (must train embeddings from scratch)</w:t>
            </w:r>
          </w:p>
        </w:tc>
        <w:tc>
          <w:tcPr>
            <w:tcW w:type="dxa" w:w="2880"/>
          </w:tcPr>
          <w:p>
            <w:r>
              <w:rPr>
                <w:rFonts w:ascii="Arial" w:hAnsi="Arial" w:eastAsia="SimSun"/>
                <w:b w:val="0"/>
                <w:sz w:val="20"/>
              </w:rPr>
              <w:t>Direct (99.94% accuracy in 3 epochs)</w:t>
            </w:r>
          </w:p>
        </w:tc>
      </w:tr>
      <w:tr>
        <w:tc>
          <w:tcPr>
            <w:tcW w:type="dxa" w:w="2880"/>
          </w:tcPr>
          <w:p>
            <w:r>
              <w:rPr>
                <w:rFonts w:ascii="Arial" w:hAnsi="Arial" w:eastAsia="SimSun"/>
                <w:b w:val="0"/>
                <w:sz w:val="20"/>
              </w:rPr>
              <w:t>Hardware (RISC-V) Support</w:t>
            </w:r>
          </w:p>
        </w:tc>
        <w:tc>
          <w:tcPr>
            <w:tcW w:type="dxa" w:w="2880"/>
          </w:tcPr>
          <w:p>
            <w:r>
              <w:rPr>
                <w:rFonts w:ascii="Arial" w:hAnsi="Arial" w:eastAsia="SimSun"/>
                <w:b w:val="0"/>
                <w:sz w:val="20"/>
              </w:rPr>
              <w:t>None</w:t>
            </w:r>
          </w:p>
        </w:tc>
        <w:tc>
          <w:tcPr>
            <w:tcW w:type="dxa" w:w="2880"/>
          </w:tcPr>
          <w:p>
            <w:r>
              <w:rPr>
                <w:rFonts w:ascii="Arial" w:hAnsi="Arial" w:eastAsia="SimSun"/>
                <w:b w:val="0"/>
                <w:sz w:val="20"/>
              </w:rPr>
              <w:t>5 verified custom instructions</w:t>
            </w:r>
          </w:p>
        </w:tc>
      </w:tr>
      <w:tr>
        <w:tc>
          <w:tcPr>
            <w:tcW w:type="dxa" w:w="2880"/>
          </w:tcPr>
          <w:p>
            <w:r>
              <w:rPr>
                <w:rFonts w:ascii="Arial" w:hAnsi="Arial" w:eastAsia="SimSun"/>
                <w:b w:val="0"/>
                <w:sz w:val="20"/>
              </w:rPr>
              <w:t>Processing Model</w:t>
            </w:r>
          </w:p>
        </w:tc>
        <w:tc>
          <w:tcPr>
            <w:tcW w:type="dxa" w:w="2880"/>
          </w:tcPr>
          <w:p>
            <w:r>
              <w:rPr>
                <w:rFonts w:ascii="Arial" w:hAnsi="Arial" w:eastAsia="SimSun"/>
                <w:b w:val="0"/>
                <w:sz w:val="20"/>
              </w:rPr>
              <w:t>Byte-level table lookup</w:t>
            </w:r>
          </w:p>
        </w:tc>
        <w:tc>
          <w:tcPr>
            <w:tcW w:type="dxa" w:w="2880"/>
          </w:tcPr>
          <w:p>
            <w:r>
              <w:rPr>
                <w:rFonts w:ascii="Arial" w:hAnsi="Arial" w:eastAsia="SimSun"/>
                <w:b w:val="0"/>
                <w:sz w:val="20"/>
              </w:rPr>
              <w:t>Bit-field extraction (1-2 cycles)</w:t>
            </w:r>
          </w:p>
        </w:tc>
      </w:tr>
    </w:tbl>
    <w:p>
      <w:pPr>
        <w:pStyle w:val="Heading2"/>
      </w:pPr>
      <w:r>
        <w:rPr>
          <w:rFonts w:ascii="Arial" w:hAnsi="Arial" w:eastAsia="SimSun"/>
          <w:b w:val="0"/>
          <w:sz w:val="26"/>
        </w:rPr>
        <w:t>9.4 Capability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Arial" w:hAnsi="Arial" w:eastAsia="SimSun"/>
                <w:b/>
                <w:sz w:val="20"/>
              </w:rPr>
              <w:t>Capability</w:t>
            </w:r>
          </w:p>
        </w:tc>
        <w:tc>
          <w:tcPr>
            <w:tcW w:type="dxa" w:w="2880"/>
          </w:tcPr>
          <w:p>
            <w:r>
              <w:rPr>
                <w:rFonts w:ascii="Arial" w:hAnsi="Arial" w:eastAsia="SimSun"/>
                <w:b/>
                <w:sz w:val="20"/>
              </w:rPr>
              <w:t>GB 18030-2022</w:t>
            </w:r>
          </w:p>
        </w:tc>
        <w:tc>
          <w:tcPr>
            <w:tcW w:type="dxa" w:w="2880"/>
          </w:tcPr>
          <w:p>
            <w:r>
              <w:rPr>
                <w:rFonts w:ascii="Arial" w:hAnsi="Arial" w:eastAsia="SimSun"/>
                <w:b/>
                <w:sz w:val="20"/>
              </w:rPr>
              <w:t>CNBE-32</w:t>
            </w:r>
          </w:p>
        </w:tc>
      </w:tr>
      <w:tr>
        <w:tc>
          <w:tcPr>
            <w:tcW w:type="dxa" w:w="2880"/>
          </w:tcPr>
          <w:p>
            <w:r>
              <w:rPr>
                <w:rFonts w:ascii="Arial" w:hAnsi="Arial" w:eastAsia="SimSun"/>
                <w:b w:val="0"/>
                <w:sz w:val="20"/>
              </w:rPr>
              <w:t>Text Storage and Transmission</w:t>
            </w:r>
          </w:p>
        </w:tc>
        <w:tc>
          <w:tcPr>
            <w:tcW w:type="dxa" w:w="2880"/>
          </w:tcPr>
          <w:p>
            <w:r>
              <w:rPr>
                <w:rFonts w:ascii="Arial" w:hAnsi="Arial" w:eastAsia="SimSun"/>
                <w:b w:val="0"/>
                <w:sz w:val="20"/>
              </w:rPr>
              <w:t>Primary design purpose</w:t>
            </w:r>
          </w:p>
        </w:tc>
        <w:tc>
          <w:tcPr>
            <w:tcW w:type="dxa" w:w="2880"/>
          </w:tcPr>
          <w:p>
            <w:r>
              <w:rPr>
                <w:rFonts w:ascii="Arial" w:hAnsi="Arial" w:eastAsia="SimSun"/>
                <w:b w:val="0"/>
                <w:sz w:val="20"/>
              </w:rPr>
              <w:t>Not designed for storage/transmission</w:t>
            </w:r>
          </w:p>
        </w:tc>
      </w:tr>
      <w:tr>
        <w:tc>
          <w:tcPr>
            <w:tcW w:type="dxa" w:w="2880"/>
          </w:tcPr>
          <w:p>
            <w:r>
              <w:rPr>
                <w:rFonts w:ascii="Arial" w:hAnsi="Arial" w:eastAsia="SimSun"/>
                <w:b w:val="0"/>
                <w:sz w:val="20"/>
              </w:rPr>
              <w:t>AI Semantic Readability</w:t>
            </w:r>
          </w:p>
        </w:tc>
        <w:tc>
          <w:tcPr>
            <w:tcW w:type="dxa" w:w="2880"/>
          </w:tcPr>
          <w:p>
            <w:r>
              <w:rPr>
                <w:rFonts w:ascii="Arial" w:hAnsi="Arial" w:eastAsia="SimSun"/>
                <w:b w:val="0"/>
                <w:sz w:val="20"/>
              </w:rPr>
              <w:t>None (must train separate embeddings)</w:t>
            </w:r>
          </w:p>
        </w:tc>
        <w:tc>
          <w:tcPr>
            <w:tcW w:type="dxa" w:w="2880"/>
          </w:tcPr>
          <w:p>
            <w:r>
              <w:rPr>
                <w:rFonts w:ascii="Arial" w:hAnsi="Arial" w:eastAsia="SimSun"/>
                <w:b w:val="0"/>
                <w:sz w:val="20"/>
              </w:rPr>
              <w:t>Direct (99.94% top-1 accuracy)</w:t>
            </w:r>
          </w:p>
        </w:tc>
      </w:tr>
      <w:tr>
        <w:tc>
          <w:tcPr>
            <w:tcW w:type="dxa" w:w="2880"/>
          </w:tcPr>
          <w:p>
            <w:r>
              <w:rPr>
                <w:rFonts w:ascii="Arial" w:hAnsi="Arial" w:eastAsia="SimSun"/>
                <w:b w:val="0"/>
                <w:sz w:val="20"/>
              </w:rPr>
              <w:t>Hardware Acceleration</w:t>
            </w:r>
          </w:p>
        </w:tc>
        <w:tc>
          <w:tcPr>
            <w:tcW w:type="dxa" w:w="2880"/>
          </w:tcPr>
          <w:p>
            <w:r>
              <w:rPr>
                <w:rFonts w:ascii="Arial" w:hAnsi="Arial" w:eastAsia="SimSun"/>
                <w:b w:val="0"/>
                <w:sz w:val="20"/>
              </w:rPr>
              <w:t>None</w:t>
            </w:r>
          </w:p>
        </w:tc>
        <w:tc>
          <w:tcPr>
            <w:tcW w:type="dxa" w:w="2880"/>
          </w:tcPr>
          <w:p>
            <w:r>
              <w:rPr>
                <w:rFonts w:ascii="Arial" w:hAnsi="Arial" w:eastAsia="SimSun"/>
                <w:b w:val="0"/>
                <w:sz w:val="20"/>
              </w:rPr>
              <w:t>5 RISC-V custom instructions verified</w:t>
            </w:r>
          </w:p>
        </w:tc>
      </w:tr>
      <w:tr>
        <w:tc>
          <w:tcPr>
            <w:tcW w:type="dxa" w:w="2880"/>
          </w:tcPr>
          <w:p>
            <w:r>
              <w:rPr>
                <w:rFonts w:ascii="Arial" w:hAnsi="Arial" w:eastAsia="SimSun"/>
                <w:b w:val="0"/>
                <w:sz w:val="20"/>
              </w:rPr>
              <w:t>Semantic Search</w:t>
            </w:r>
          </w:p>
        </w:tc>
        <w:tc>
          <w:tcPr>
            <w:tcW w:type="dxa" w:w="2880"/>
          </w:tcPr>
          <w:p>
            <w:r>
              <w:rPr>
                <w:rFonts w:ascii="Arial" w:hAnsi="Arial" w:eastAsia="SimSun"/>
                <w:b w:val="0"/>
                <w:sz w:val="20"/>
              </w:rPr>
              <w:t>Requires separate embedding model</w:t>
            </w:r>
          </w:p>
        </w:tc>
        <w:tc>
          <w:tcPr>
            <w:tcW w:type="dxa" w:w="2880"/>
          </w:tcPr>
          <w:p>
            <w:r>
              <w:rPr>
                <w:rFonts w:ascii="Arial" w:hAnsi="Arial" w:eastAsia="SimSun"/>
                <w:b w:val="0"/>
                <w:sz w:val="20"/>
              </w:rPr>
              <w:t>Implicit via encoding distance</w:t>
            </w:r>
          </w:p>
        </w:tc>
      </w:tr>
      <w:tr>
        <w:tc>
          <w:tcPr>
            <w:tcW w:type="dxa" w:w="2880"/>
          </w:tcPr>
          <w:p>
            <w:r>
              <w:rPr>
                <w:rFonts w:ascii="Arial" w:hAnsi="Arial" w:eastAsia="SimSun"/>
                <w:b w:val="0"/>
                <w:sz w:val="20"/>
              </w:rPr>
              <w:t>Confusable Character Disambiguation</w:t>
            </w:r>
          </w:p>
        </w:tc>
        <w:tc>
          <w:tcPr>
            <w:tcW w:type="dxa" w:w="2880"/>
          </w:tcPr>
          <w:p>
            <w:r>
              <w:rPr>
                <w:rFonts w:ascii="Arial" w:hAnsi="Arial" w:eastAsia="SimSun"/>
                <w:b w:val="0"/>
                <w:sz w:val="20"/>
              </w:rPr>
              <w:t>No structural information available</w:t>
            </w:r>
          </w:p>
        </w:tc>
        <w:tc>
          <w:tcPr>
            <w:tcW w:type="dxa" w:w="2880"/>
          </w:tcPr>
          <w:p>
            <w:r>
              <w:rPr>
                <w:rFonts w:ascii="Arial" w:hAnsi="Arial" w:eastAsia="SimSun"/>
                <w:b w:val="0"/>
                <w:sz w:val="20"/>
              </w:rPr>
              <w:t>Non-zero separation for all pairs</w:t>
            </w:r>
          </w:p>
        </w:tc>
      </w:tr>
      <w:tr>
        <w:tc>
          <w:tcPr>
            <w:tcW w:type="dxa" w:w="2880"/>
          </w:tcPr>
          <w:p>
            <w:r>
              <w:rPr>
                <w:rFonts w:ascii="Arial" w:hAnsi="Arial" w:eastAsia="SimSun"/>
                <w:b w:val="0"/>
                <w:sz w:val="20"/>
              </w:rPr>
              <w:t>Few-shot Learning</w:t>
            </w:r>
          </w:p>
        </w:tc>
        <w:tc>
          <w:tcPr>
            <w:tcW w:type="dxa" w:w="2880"/>
          </w:tcPr>
          <w:p>
            <w:r>
              <w:rPr>
                <w:rFonts w:ascii="Arial" w:hAnsi="Arial" w:eastAsia="SimSun"/>
                <w:b w:val="0"/>
                <w:sz w:val="20"/>
              </w:rPr>
              <w:t>High data requirement</w:t>
            </w:r>
          </w:p>
        </w:tc>
        <w:tc>
          <w:tcPr>
            <w:tcW w:type="dxa" w:w="2880"/>
          </w:tcPr>
          <w:p>
            <w:r>
              <w:rPr>
                <w:rFonts w:ascii="Arial" w:hAnsi="Arial" w:eastAsia="SimSun"/>
                <w:b w:val="0"/>
                <w:sz w:val="20"/>
              </w:rPr>
              <w:t>Structural prior (verified in E4/DeepSeek)</w:t>
            </w:r>
          </w:p>
        </w:tc>
      </w:tr>
      <w:tr>
        <w:tc>
          <w:tcPr>
            <w:tcW w:type="dxa" w:w="2880"/>
          </w:tcPr>
          <w:p>
            <w:r>
              <w:rPr>
                <w:rFonts w:ascii="Arial" w:hAnsi="Arial" w:eastAsia="SimSun"/>
                <w:b w:val="0"/>
                <w:sz w:val="20"/>
              </w:rPr>
              <w:t>CJK Character Expansion</w:t>
            </w:r>
          </w:p>
        </w:tc>
        <w:tc>
          <w:tcPr>
            <w:tcW w:type="dxa" w:w="2880"/>
          </w:tcPr>
          <w:p>
            <w:r>
              <w:rPr>
                <w:rFonts w:ascii="Arial" w:hAnsi="Arial" w:eastAsia="SimSun"/>
                <w:b w:val="0"/>
                <w:sz w:val="20"/>
              </w:rPr>
              <w:t>87,887 characters</w:t>
            </w:r>
          </w:p>
        </w:tc>
        <w:tc>
          <w:tcPr>
            <w:tcW w:type="dxa" w:w="2880"/>
          </w:tcPr>
          <w:p>
            <w:r>
              <w:rPr>
                <w:rFonts w:ascii="Arial" w:hAnsi="Arial" w:eastAsia="SimSun"/>
                <w:b w:val="0"/>
                <w:sz w:val="20"/>
              </w:rPr>
              <w:t>97,686 characters (including Extensions A-I)</w:t>
            </w:r>
          </w:p>
        </w:tc>
      </w:tr>
    </w:tbl>
    <w:p>
      <w:pPr>
        <w:pStyle w:val="Heading2"/>
      </w:pPr>
      <w:r>
        <w:rPr>
          <w:rFonts w:ascii="Arial" w:hAnsi="Arial" w:eastAsia="SimSun"/>
          <w:b w:val="0"/>
          <w:sz w:val="26"/>
        </w:rPr>
        <w:t>9.5 Complementary Role</w:t>
      </w:r>
    </w:p>
    <w:p>
      <w:r>
        <w:rPr>
          <w:rFonts w:ascii="Arial" w:hAnsi="Arial" w:eastAsia="SimSun"/>
          <w:b w:val="0"/>
          <w:sz w:val="20"/>
        </w:rPr>
        <w:t>CNBE-32 is NOT designed to replace GB 18030-2022 or any existing character encoding standard. The two serve fundamentally different purposes in the Chinese information processing stack:</w:t>
      </w:r>
    </w:p>
    <w:p>
      <w:r>
        <w:rPr>
          <w:rFonts w:ascii="Arial" w:hAnsi="Arial" w:eastAsia="SimSun"/>
          <w:b w:val="0"/>
          <w:sz w:val="20"/>
        </w:rPr>
        <w:t>1. **Text Storage and Transmission**: GB 18030-2022 is the mandatory national standard for document exchange, database storage, and system interoperability. CNBE-32 does not compete in this domain.</w:t>
      </w:r>
    </w:p>
    <w:p>
      <w:r>
        <w:rPr>
          <w:rFonts w:ascii="Arial" w:hAnsi="Arial" w:eastAsia="SimSun"/>
          <w:b w:val="0"/>
          <w:sz w:val="20"/>
        </w:rPr>
        <w:t>2. **AI Semantic Processing**: CNBE-32 provides structural semantic information that GB 18030-2022 inherently lacks. This enables direct machine readability without learned embeddings.</w:t>
      </w:r>
    </w:p>
    <w:p>
      <w:r>
        <w:rPr>
          <w:rFonts w:ascii="Arial" w:hAnsi="Arial" w:eastAsia="SimSun"/>
          <w:b w:val="0"/>
          <w:sz w:val="20"/>
        </w:rPr>
        <w:t>3. **Hardware Acceleration**: CNBE-32 supports 5 RISC-V custom instructions for native character processing. GB 18030-2022 has no hardware acceleration pathway.</w:t>
      </w:r>
    </w:p>
    <w:p>
      <w:r>
        <w:rPr>
          <w:rFonts w:ascii="Arial" w:hAnsi="Arial" w:eastAsia="SimSun"/>
          <w:b w:val="0"/>
          <w:sz w:val="20"/>
        </w:rPr>
      </w:r>
    </w:p>
    <w:p>
      <w:r>
        <w:rPr>
          <w:rFonts w:ascii="Arial" w:hAnsi="Arial" w:eastAsia="SimSun"/>
          <w:b w:val="0"/>
          <w:sz w:val="20"/>
        </w:rPr>
        <w:t>In practical deployment, CNBE-32 operates alongside GB 18030-2022: underlying storage and transmission use the existing national standard, while AI processing, character analysis, and hardware-native operations use CNBE-32 for its structural semantic capabilities.</w:t>
      </w:r>
    </w:p>
    <w:p>
      <w:pPr>
        <w:pStyle w:val="Heading2"/>
      </w:pPr>
      <w:r>
        <w:rPr>
          <w:rFonts w:ascii="Arial" w:hAnsi="Arial" w:eastAsia="SimSun"/>
          <w:b w:val="0"/>
          <w:sz w:val="26"/>
        </w:rPr>
        <w:t>9.6 International Encoding Landscape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SimSun"/>
                <w:b/>
                <w:sz w:val="20"/>
              </w:rPr>
              <w:t>Standard</w:t>
            </w:r>
          </w:p>
        </w:tc>
        <w:tc>
          <w:tcPr>
            <w:tcW w:type="dxa" w:w="1728"/>
          </w:tcPr>
          <w:p>
            <w:r>
              <w:rPr>
                <w:rFonts w:ascii="Arial" w:hAnsi="Arial" w:eastAsia="SimSun"/>
                <w:b/>
                <w:sz w:val="20"/>
              </w:rPr>
              <w:t>Role</w:t>
            </w:r>
          </w:p>
        </w:tc>
        <w:tc>
          <w:tcPr>
            <w:tcW w:type="dxa" w:w="1728"/>
          </w:tcPr>
          <w:p>
            <w:r>
              <w:rPr>
                <w:rFonts w:ascii="Arial" w:hAnsi="Arial" w:eastAsia="SimSun"/>
                <w:b/>
                <w:sz w:val="20"/>
              </w:rPr>
              <w:t>Semantic Encoding</w:t>
            </w:r>
          </w:p>
        </w:tc>
        <w:tc>
          <w:tcPr>
            <w:tcW w:type="dxa" w:w="1728"/>
          </w:tcPr>
          <w:p>
            <w:r>
              <w:rPr>
                <w:rFonts w:ascii="Arial" w:hAnsi="Arial" w:eastAsia="SimSun"/>
                <w:b/>
                <w:sz w:val="20"/>
              </w:rPr>
              <w:t>Characters</w:t>
            </w:r>
          </w:p>
        </w:tc>
        <w:tc>
          <w:tcPr>
            <w:tcW w:type="dxa" w:w="1728"/>
          </w:tcPr>
          <w:p>
            <w:r>
              <w:rPr>
                <w:rFonts w:ascii="Arial" w:hAnsi="Arial" w:eastAsia="SimSun"/>
                <w:b/>
                <w:sz w:val="20"/>
              </w:rPr>
              <w:t>Hardware Support</w:t>
            </w:r>
          </w:p>
        </w:tc>
      </w:tr>
      <w:tr>
        <w:tc>
          <w:tcPr>
            <w:tcW w:type="dxa" w:w="1728"/>
          </w:tcPr>
          <w:p>
            <w:r>
              <w:rPr>
                <w:rFonts w:ascii="Arial" w:hAnsi="Arial" w:eastAsia="SimSun"/>
                <w:b w:val="0"/>
                <w:sz w:val="20"/>
              </w:rPr>
              <w:t>ASCII</w:t>
            </w:r>
          </w:p>
        </w:tc>
        <w:tc>
          <w:tcPr>
            <w:tcW w:type="dxa" w:w="1728"/>
          </w:tcPr>
          <w:p>
            <w:r>
              <w:rPr>
                <w:rFonts w:ascii="Arial" w:hAnsi="Arial" w:eastAsia="SimSun"/>
                <w:b w:val="0"/>
                <w:sz w:val="20"/>
              </w:rPr>
              <w:t>Latin text encoding</w:t>
            </w:r>
          </w:p>
        </w:tc>
        <w:tc>
          <w:tcPr>
            <w:tcW w:type="dxa" w:w="1728"/>
          </w:tcPr>
          <w:p>
            <w:r>
              <w:rPr>
                <w:rFonts w:ascii="Arial" w:hAnsi="Arial" w:eastAsia="SimSun"/>
                <w:b w:val="0"/>
                <w:sz w:val="20"/>
              </w:rPr>
              <w:t>No</w:t>
            </w:r>
          </w:p>
        </w:tc>
        <w:tc>
          <w:tcPr>
            <w:tcW w:type="dxa" w:w="1728"/>
          </w:tcPr>
          <w:p>
            <w:r>
              <w:rPr>
                <w:rFonts w:ascii="Arial" w:hAnsi="Arial" w:eastAsia="SimSun"/>
                <w:b w:val="0"/>
                <w:sz w:val="20"/>
              </w:rPr>
              <w:t>128</w:t>
            </w:r>
          </w:p>
        </w:tc>
        <w:tc>
          <w:tcPr>
            <w:tcW w:type="dxa" w:w="1728"/>
          </w:tcPr>
          <w:p>
            <w:r>
              <w:rPr>
                <w:rFonts w:ascii="Arial" w:hAnsi="Arial" w:eastAsia="SimSun"/>
                <w:b w:val="0"/>
                <w:sz w:val="20"/>
              </w:rPr>
              <w:t>Universal support</w:t>
            </w:r>
          </w:p>
        </w:tc>
      </w:tr>
      <w:tr>
        <w:tc>
          <w:tcPr>
            <w:tcW w:type="dxa" w:w="1728"/>
          </w:tcPr>
          <w:p>
            <w:r>
              <w:rPr>
                <w:rFonts w:ascii="Arial" w:hAnsi="Arial" w:eastAsia="SimSun"/>
                <w:b w:val="0"/>
                <w:sz w:val="20"/>
              </w:rPr>
              <w:t>Unicode</w:t>
            </w:r>
          </w:p>
        </w:tc>
        <w:tc>
          <w:tcPr>
            <w:tcW w:type="dxa" w:w="1728"/>
          </w:tcPr>
          <w:p>
            <w:r>
              <w:rPr>
                <w:rFonts w:ascii="Arial" w:hAnsi="Arial" w:eastAsia="SimSun"/>
                <w:b w:val="0"/>
                <w:sz w:val="20"/>
              </w:rPr>
              <w:t>Universal text encoding</w:t>
            </w:r>
          </w:p>
        </w:tc>
        <w:tc>
          <w:tcPr>
            <w:tcW w:type="dxa" w:w="1728"/>
          </w:tcPr>
          <w:p>
            <w:r>
              <w:rPr>
                <w:rFonts w:ascii="Arial" w:hAnsi="Arial" w:eastAsia="SimSun"/>
                <w:b w:val="0"/>
                <w:sz w:val="20"/>
              </w:rPr>
              <w:t>No</w:t>
            </w:r>
          </w:p>
        </w:tc>
        <w:tc>
          <w:tcPr>
            <w:tcW w:type="dxa" w:w="1728"/>
          </w:tcPr>
          <w:p>
            <w:r>
              <w:rPr>
                <w:rFonts w:ascii="Arial" w:hAnsi="Arial" w:eastAsia="SimSun"/>
                <w:b w:val="0"/>
                <w:sz w:val="20"/>
              </w:rPr>
              <w:t>149,813</w:t>
            </w:r>
          </w:p>
        </w:tc>
        <w:tc>
          <w:tcPr>
            <w:tcW w:type="dxa" w:w="1728"/>
          </w:tcPr>
          <w:p>
            <w:r>
              <w:rPr>
                <w:rFonts w:ascii="Arial" w:hAnsi="Arial" w:eastAsia="SimSun"/>
                <w:b w:val="0"/>
                <w:sz w:val="20"/>
              </w:rPr>
              <w:t>No specific hardware instructions</w:t>
            </w:r>
          </w:p>
        </w:tc>
      </w:tr>
      <w:tr>
        <w:tc>
          <w:tcPr>
            <w:tcW w:type="dxa" w:w="1728"/>
          </w:tcPr>
          <w:p>
            <w:r>
              <w:rPr>
                <w:rFonts w:ascii="Arial" w:hAnsi="Arial" w:eastAsia="SimSun"/>
                <w:b w:val="0"/>
                <w:sz w:val="20"/>
              </w:rPr>
              <w:t>GB 18030-2022</w:t>
            </w:r>
          </w:p>
        </w:tc>
        <w:tc>
          <w:tcPr>
            <w:tcW w:type="dxa" w:w="1728"/>
          </w:tcPr>
          <w:p>
            <w:r>
              <w:rPr>
                <w:rFonts w:ascii="Arial" w:hAnsi="Arial" w:eastAsia="SimSun"/>
                <w:b w:val="0"/>
                <w:sz w:val="20"/>
              </w:rPr>
              <w:t>Mandatory Chinese encoding</w:t>
            </w:r>
          </w:p>
        </w:tc>
        <w:tc>
          <w:tcPr>
            <w:tcW w:type="dxa" w:w="1728"/>
          </w:tcPr>
          <w:p>
            <w:r>
              <w:rPr>
                <w:rFonts w:ascii="Arial" w:hAnsi="Arial" w:eastAsia="SimSun"/>
                <w:b w:val="0"/>
                <w:sz w:val="20"/>
              </w:rPr>
              <w:t>No</w:t>
            </w:r>
          </w:p>
        </w:tc>
        <w:tc>
          <w:tcPr>
            <w:tcW w:type="dxa" w:w="1728"/>
          </w:tcPr>
          <w:p>
            <w:r>
              <w:rPr>
                <w:rFonts w:ascii="Arial" w:hAnsi="Arial" w:eastAsia="SimSun"/>
                <w:b w:val="0"/>
                <w:sz w:val="20"/>
              </w:rPr>
              <w:t>87,887</w:t>
            </w:r>
          </w:p>
        </w:tc>
        <w:tc>
          <w:tcPr>
            <w:tcW w:type="dxa" w:w="1728"/>
          </w:tcPr>
          <w:p>
            <w:r>
              <w:rPr>
                <w:rFonts w:ascii="Arial" w:hAnsi="Arial" w:eastAsia="SimSun"/>
                <w:b w:val="0"/>
                <w:sz w:val="20"/>
              </w:rPr>
              <w:t>No</w:t>
            </w:r>
          </w:p>
        </w:tc>
      </w:tr>
      <w:tr>
        <w:tc>
          <w:tcPr>
            <w:tcW w:type="dxa" w:w="1728"/>
          </w:tcPr>
          <w:p>
            <w:r>
              <w:rPr>
                <w:rFonts w:ascii="Arial" w:hAnsi="Arial" w:eastAsia="SimSun"/>
                <w:b w:val="0"/>
                <w:sz w:val="20"/>
              </w:rPr>
              <w:t>CNBE-32</w:t>
            </w:r>
          </w:p>
        </w:tc>
        <w:tc>
          <w:tcPr>
            <w:tcW w:type="dxa" w:w="1728"/>
          </w:tcPr>
          <w:p>
            <w:r>
              <w:rPr>
                <w:rFonts w:ascii="Arial" w:hAnsi="Arial" w:eastAsia="SimSun"/>
                <w:b w:val="0"/>
                <w:sz w:val="20"/>
              </w:rPr>
              <w:t>AI processing &amp; HW acceleration</w:t>
            </w:r>
          </w:p>
        </w:tc>
        <w:tc>
          <w:tcPr>
            <w:tcW w:type="dxa" w:w="1728"/>
          </w:tcPr>
          <w:p>
            <w:r>
              <w:rPr>
                <w:rFonts w:ascii="Arial" w:hAnsi="Arial" w:eastAsia="SimSun"/>
                <w:b w:val="0"/>
                <w:sz w:val="20"/>
              </w:rPr>
              <w:t>YES (4-layer structure)</w:t>
            </w:r>
          </w:p>
        </w:tc>
        <w:tc>
          <w:tcPr>
            <w:tcW w:type="dxa" w:w="1728"/>
          </w:tcPr>
          <w:p>
            <w:r>
              <w:rPr>
                <w:rFonts w:ascii="Arial" w:hAnsi="Arial" w:eastAsia="SimSun"/>
                <w:b w:val="0"/>
                <w:sz w:val="20"/>
              </w:rPr>
              <w:t>97,686</w:t>
            </w:r>
          </w:p>
        </w:tc>
        <w:tc>
          <w:tcPr>
            <w:tcW w:type="dxa" w:w="1728"/>
          </w:tcPr>
          <w:p>
            <w:r>
              <w:rPr>
                <w:rFonts w:ascii="Arial" w:hAnsi="Arial" w:eastAsia="SimSun"/>
                <w:b w:val="0"/>
                <w:sz w:val="20"/>
              </w:rPr>
              <w:t>YES (5 RISC-V custom instructions)</w:t>
            </w:r>
          </w:p>
        </w:tc>
      </w:tr>
    </w:tbl>
    <w:p>
      <w:pPr>
        <w:pStyle w:val="Heading2"/>
      </w:pPr>
      <w:r>
        <w:rPr>
          <w:rFonts w:ascii="Arial" w:hAnsi="Arial" w:eastAsia="SimSun"/>
          <w:b w:val="0"/>
          <w:sz w:val="26"/>
        </w:rPr>
        <w:t>9.7 Key Advantage Summary</w:t>
      </w:r>
    </w:p>
    <w:p>
      <w:r>
        <w:rPr>
          <w:rFonts w:ascii="Arial" w:hAnsi="Arial" w:eastAsia="SimSun"/>
          <w:b w:val="0"/>
          <w:sz w:val="20"/>
        </w:rPr>
        <w:t>CNBE-32 fills a critical gap that no existing standard addresses: a machine-readable semantic representation of Chinese characters with structural information embedded directly in the code space. With 9,799 more CJK characters than GB 18030-2022, support for all 214 Kangxi radicals, 9 structure types, and 5 RISC-V custom instructions for native hardware processing, CNBE-32 provides the semantic processing layer that the Chinese AI ecosystem currently lacks. It is designed to complement, not replace, existing encoding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