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hint="default" w:ascii="Times New Roman" w:hAnsi="Times New Roman" w:eastAsia="Times New Roman" w:cs="Times New Roman"/>
          <w:b/>
          <w:bCs/>
          <w:kern w:val="36"/>
          <w:sz w:val="48"/>
          <w:szCs w:val="48"/>
          <w:lang w:val="en-US"/>
          <w14:ligatures w14:val="none"/>
        </w:rPr>
        <w:t>1-</w:t>
      </w: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14:ligatures w14:val="none"/>
        </w:rPr>
        <w:t>Accountancy Services</w:t>
      </w:r>
    </w:p>
    <w:p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  <w:t>Cloud Accounting</w:t>
      </w:r>
    </w:p>
    <w:p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>
        <w:t>We implement and manage modern cloud-based accounting systems (such as Xero, QuickBooks, or Odoo), enabling clients to access real-time financial information anytime and anywhere. Clients can expect system setup, migration from existing systems, training, and ongoing support.</w:t>
      </w:r>
    </w:p>
    <w:p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Clients should expect:</w:t>
      </w:r>
    </w:p>
    <w:p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System setup and migration from existing accounting records</w:t>
      </w:r>
    </w:p>
    <w:p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Secure, real-time access to financial data from anywhere</w:t>
      </w:r>
    </w:p>
    <w:p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Integration with bank feeds, payroll, and invoicing systems</w:t>
      </w:r>
    </w:p>
    <w:p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Ongoing technical support and system maintenance</w:t>
      </w:r>
    </w:p>
    <w:p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Training and guidance for staff using the accounting software</w:t>
      </w:r>
    </w:p>
    <w:p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  <w:t>Bookkeeping</w:t>
      </w:r>
    </w:p>
    <w:p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>
        <w:t>Accurate recording of daily financial transactions including sales, purchases, expenses, and bank reconciliations. Clients receive up-to-date records that support compliance and provide a clear financial picture.</w:t>
      </w:r>
    </w:p>
    <w:p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Clients should expect:</w:t>
      </w:r>
    </w:p>
    <w:p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Accurate recording of all financial transactions</w:t>
      </w:r>
    </w:p>
    <w:p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Monthly reconciliation of bank and control accounts</w:t>
      </w:r>
    </w:p>
    <w:p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Proper categorisation of expenses and income</w:t>
      </w:r>
    </w:p>
    <w:p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Timely updating of accounting records</w:t>
      </w:r>
    </w:p>
    <w:p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Regular reporting of financial summaries</w:t>
      </w:r>
    </w:p>
    <w:p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  <w:t>Final Accounts Preparation</w:t>
      </w:r>
    </w:p>
    <w:p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>
        <w:t>Preparation of annual financial statements in compliance with UK accounting standards. Clients can expect professionally prepared accounts ready for Companies House and HMRC submission.</w:t>
      </w:r>
    </w:p>
    <w:p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Clients should expect:</w:t>
      </w:r>
    </w:p>
    <w:p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Preparation of statutory financial statements</w:t>
      </w:r>
    </w:p>
    <w:p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Compliance with UK accounting standards</w:t>
      </w:r>
    </w:p>
    <w:p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Submission-ready reports for HMRC and Companies House</w:t>
      </w:r>
    </w:p>
    <w:p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Professional review to ensure accuracy</w:t>
      </w:r>
    </w:p>
    <w:p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Explanation of financial results and performance</w:t>
      </w:r>
    </w:p>
    <w:p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  <w:t>Management Accounts</w:t>
      </w:r>
    </w:p>
    <w:p>
      <w:pPr>
        <w:spacing w:before="100" w:beforeAutospacing="1" w:after="100" w:afterAutospacing="1" w:line="240" w:lineRule="auto"/>
        <w:outlineLvl w:val="1"/>
      </w:pPr>
      <w:r>
        <w:t>Monthly or quarterly performance reports including profit and loss statements, balance sheets, and KPI analysis. These help business owners track performance and make informed strategic decisions.</w:t>
      </w:r>
    </w:p>
    <w:p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Clients should expect:</w:t>
      </w:r>
    </w:p>
    <w:p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Monthly or quarterly financial performance reports</w:t>
      </w:r>
    </w:p>
    <w:p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Profitability analysis and key performance indicators</w:t>
      </w:r>
    </w:p>
    <w:p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Budget vs actual performance comparison</w:t>
      </w:r>
    </w:p>
    <w:p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Cash flow performance insights</w:t>
      </w:r>
    </w:p>
    <w:p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Strategic recommendations based on results</w:t>
      </w:r>
    </w:p>
    <w:p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  <w:t>Cash Flow Forecasting</w:t>
      </w:r>
    </w:p>
    <w:p>
      <w:pPr>
        <w:spacing w:before="100" w:beforeAutospacing="1" w:after="100" w:afterAutospacing="1" w:line="240" w:lineRule="auto"/>
        <w:outlineLvl w:val="1"/>
      </w:pPr>
      <w:r>
        <w:t>Preparation of forward-looking cash flow projections to help businesses plan for future funding needs, expansion, or cost management.</w:t>
      </w:r>
    </w:p>
    <w:p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Clients should expect:</w:t>
      </w:r>
    </w:p>
    <w:p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Forward-looking cash flow projections</w:t>
      </w:r>
    </w:p>
    <w:p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Identification of funding gaps or surpluses</w:t>
      </w:r>
    </w:p>
    <w:p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Planning support for growth or expansion</w:t>
      </w:r>
    </w:p>
    <w:p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Scenario modelling for different business situations</w:t>
      </w:r>
    </w:p>
    <w:p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Recommendations to improve cash flow stability</w:t>
      </w:r>
    </w:p>
    <w:p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  <w:t>Payroll &amp; CIS Returns</w:t>
      </w:r>
    </w:p>
    <w:p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t>Processing employee payroll, pension compliance, RTI submissions to HMRC, and Construction Industry Scheme (CIS) reporting where applicable.</w:t>
      </w:r>
    </w:p>
    <w:p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Clients should expect:</w:t>
      </w:r>
    </w:p>
    <w:p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Accurate payroll calculations and payslip preparation</w:t>
      </w:r>
    </w:p>
    <w:p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RTI submissions to HMRC on time</w:t>
      </w:r>
    </w:p>
    <w:p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Pension contribution processing</w:t>
      </w:r>
    </w:p>
    <w:p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CIS subcontractor verification and reporting</w:t>
      </w:r>
    </w:p>
    <w:p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Compliance with UK payroll regulations</w:t>
      </w:r>
    </w:p>
    <w:p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  <w:t>Workplace Pension Support</w:t>
      </w:r>
    </w:p>
    <w:p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>
        <w:t>Auto-enrolment compliance, pension scheme setup, and ongoing reporting support</w:t>
      </w:r>
    </w:p>
    <w:p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Clients should expect:</w:t>
      </w:r>
    </w:p>
    <w:p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Auto-enrolment compliance setup</w:t>
      </w:r>
    </w:p>
    <w:p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Pension provider registration assistance</w:t>
      </w:r>
    </w:p>
    <w:p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Employee enrolment and contribution calculations</w:t>
      </w:r>
    </w:p>
    <w:p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Regulatory reporting support</w:t>
      </w:r>
    </w:p>
    <w:p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Ongoing compliance monitoring</w:t>
      </w:r>
    </w:p>
    <w:p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  <w:t>Budgeting &amp; Financial Projections</w:t>
      </w:r>
    </w:p>
    <w:p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t>Preparation of annual budgets, financial modelling, and performance tracking against planned targets.</w:t>
      </w:r>
    </w:p>
    <w:p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Clients should expect:</w:t>
      </w:r>
    </w:p>
    <w:p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Annual budgeting preparation</w:t>
      </w:r>
    </w:p>
    <w:p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Financial forecasting and modelling</w:t>
      </w:r>
    </w:p>
    <w:p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Performance tracking against targets</w:t>
      </w:r>
    </w:p>
    <w:p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Cost control recommendations</w:t>
      </w:r>
    </w:p>
    <w:p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Strategic financial planning insights</w:t>
      </w:r>
    </w:p>
    <w:p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</w:p>
    <w:p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hint="default" w:ascii="Times New Roman" w:hAnsi="Times New Roman" w:eastAsia="Times New Roman" w:cs="Times New Roman"/>
          <w:b/>
          <w:bCs/>
          <w:kern w:val="36"/>
          <w:sz w:val="48"/>
          <w:szCs w:val="48"/>
          <w:lang w:val="en-US"/>
          <w14:ligatures w14:val="none"/>
        </w:rPr>
        <w:t>2-</w:t>
      </w: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14:ligatures w14:val="none"/>
        </w:rPr>
        <w:t>Tax Advisory &amp; Compliance</w:t>
      </w:r>
    </w:p>
    <w:p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  <w:t>Business Tax (Corporation Tax)</w:t>
      </w:r>
    </w:p>
    <w:p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t>Preparation and filing of corporation tax returns, tax computations, and advisory on tax-efficient business structuring.</w:t>
      </w:r>
    </w:p>
    <w:p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Clients should expect:</w:t>
      </w:r>
    </w:p>
    <w:p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Accurate corporation tax calculations</w:t>
      </w:r>
    </w:p>
    <w:p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Timely filing of corporation tax returns</w:t>
      </w:r>
    </w:p>
    <w:p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Tax-efficient structuring advice</w:t>
      </w:r>
    </w:p>
    <w:p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Identification of allowable deductions</w:t>
      </w:r>
    </w:p>
    <w:p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Compliance with HMRC requirements</w:t>
      </w:r>
    </w:p>
    <w:p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  <w:t>Personal Tax</w:t>
      </w:r>
    </w:p>
    <w:p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>
        <w:t>Tax return preparation for individuals, directors, landlords, and high-net-worth individuals.</w:t>
      </w:r>
    </w:p>
    <w:p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Clients should expect:</w:t>
      </w:r>
    </w:p>
    <w:p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Complete personal tax return preparation</w:t>
      </w:r>
    </w:p>
    <w:p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Identification of available tax reliefs</w:t>
      </w:r>
    </w:p>
    <w:p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Advice on tax-efficient income structuring</w:t>
      </w:r>
    </w:p>
    <w:p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Timely HMRC submissions</w:t>
      </w:r>
    </w:p>
    <w:p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Ongoing tax planning guidance</w:t>
      </w:r>
    </w:p>
    <w:p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  <w:t>Self-Assessment Returns</w:t>
      </w:r>
    </w:p>
    <w:p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>
        <w:t>Preparation and submission of HMRC self-assessment returns including income from employment, self-employment, property, and investments.</w:t>
      </w:r>
    </w:p>
    <w:p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Clients should expect:</w:t>
      </w:r>
    </w:p>
    <w:p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Collection and review of income documentation</w:t>
      </w:r>
    </w:p>
    <w:p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Accurate self-assessment tax return submission</w:t>
      </w:r>
    </w:p>
    <w:p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Calculation of tax liabilities</w:t>
      </w:r>
    </w:p>
    <w:p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Deadline compliance support</w:t>
      </w:r>
    </w:p>
    <w:p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HMRC correspondence assistance</w:t>
      </w:r>
    </w:p>
    <w:p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  <w:t>VAT Services</w:t>
      </w:r>
    </w:p>
    <w:p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>
        <w:t>VAT registration, VAT return preparation, Making Tax Digital (MTD) compliance, VAT advisory, and error corrections.</w:t>
      </w:r>
    </w:p>
    <w:p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Clients should expect:</w:t>
      </w:r>
    </w:p>
    <w:p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VAT registration and setup</w:t>
      </w:r>
    </w:p>
    <w:p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Preparation and submission of VAT returns</w:t>
      </w:r>
    </w:p>
    <w:p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VAT advisory on transactions</w:t>
      </w:r>
    </w:p>
    <w:p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Error corrections and HMRC liaison</w:t>
      </w:r>
    </w:p>
    <w:p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  <w:t>Capital Gains Tax</w:t>
      </w:r>
    </w:p>
    <w:p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>
        <w:t>Advice and reporting on asset disposals including property, shares, and business sales.</w:t>
      </w:r>
    </w:p>
    <w:p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Clients should expect:</w:t>
      </w:r>
    </w:p>
    <w:p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Gain calculation on asset disposals</w:t>
      </w:r>
    </w:p>
    <w:p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Identification of exemptions and reliefs</w:t>
      </w:r>
    </w:p>
    <w:p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Filing of CGT returns</w:t>
      </w:r>
    </w:p>
    <w:p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Tax-efficient disposal planning</w:t>
      </w:r>
    </w:p>
    <w:p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Compliance with reporting deadlines</w:t>
      </w:r>
    </w:p>
    <w:p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  <w:t>Inheritance Tax Planning</w:t>
      </w:r>
    </w:p>
    <w:p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>
        <w:t>Estate planning strategies designed to minimise inheritance tax exposure.</w:t>
      </w:r>
    </w:p>
    <w:p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Clients should expect:</w:t>
      </w:r>
    </w:p>
    <w:p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Estate planning guidance</w:t>
      </w:r>
    </w:p>
    <w:p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Tax minimisation strategies</w:t>
      </w:r>
    </w:p>
    <w:p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Trust and succession planning advice</w:t>
      </w:r>
    </w:p>
    <w:p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Asset transfer planning</w:t>
      </w:r>
    </w:p>
    <w:p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Long-term wealth protection strategies</w:t>
      </w:r>
    </w:p>
    <w:p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  <w:t>R&amp;D Tax Relief</w:t>
      </w:r>
    </w:p>
    <w:p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>
        <w:t>Identification and preparation of qualifying R&amp;D claims to maximise available tax incentives</w:t>
      </w:r>
    </w:p>
    <w:p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Clients should expect:</w:t>
      </w:r>
    </w:p>
    <w:p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Eligibility assessment for R&amp;D claims</w:t>
      </w:r>
    </w:p>
    <w:p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Claim preparation and documentation support</w:t>
      </w:r>
    </w:p>
    <w:p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Maximisation of tax relief benefits</w:t>
      </w:r>
    </w:p>
    <w:p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Submission assistance</w:t>
      </w:r>
    </w:p>
    <w:p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HMRC enquiry support if required</w:t>
      </w:r>
    </w:p>
    <w:p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  <w:t>International Tax Advisory</w:t>
      </w:r>
    </w:p>
    <w:p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>
        <w:t>Cross-border tax planning, residency considerations, and double taxation guidance.</w:t>
      </w:r>
    </w:p>
    <w:p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Clients should expect:</w:t>
      </w:r>
    </w:p>
    <w:p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Cross-border tax planning guidance</w:t>
      </w:r>
    </w:p>
    <w:p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Double taxation treaty advice</w:t>
      </w:r>
    </w:p>
    <w:p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Residency and domicile tax support</w:t>
      </w:r>
    </w:p>
    <w:p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Structuring international income</w:t>
      </w:r>
    </w:p>
    <w:p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Compliance with international tax regulations</w:t>
      </w:r>
    </w:p>
    <w:p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</w:p>
    <w:p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hint="default" w:ascii="Times New Roman" w:hAnsi="Times New Roman" w:eastAsia="Times New Roman" w:cs="Times New Roman"/>
          <w:b/>
          <w:bCs/>
          <w:kern w:val="36"/>
          <w:sz w:val="48"/>
          <w:szCs w:val="48"/>
          <w:lang w:val="en-US"/>
          <w14:ligatures w14:val="none"/>
        </w:rPr>
        <w:t>3-</w:t>
      </w: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14:ligatures w14:val="none"/>
        </w:rPr>
        <w:t>Business Advisory &amp; Planning</w:t>
      </w:r>
    </w:p>
    <w:p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  <w:t>Company Formation</w:t>
      </w:r>
    </w:p>
    <w:p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>
        <w:t>Assistance with company registration, share structure planning, and Companies House compliance.</w:t>
      </w:r>
    </w:p>
    <w:p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Clients should expect:</w:t>
      </w:r>
    </w:p>
    <w:p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Company registration handling</w:t>
      </w:r>
    </w:p>
    <w:p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Advice on share structure</w:t>
      </w:r>
    </w:p>
    <w:p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Companies House filing support</w:t>
      </w:r>
    </w:p>
    <w:p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Business setup guidance</w:t>
      </w:r>
    </w:p>
    <w:p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Post-registration compliance advice</w:t>
      </w:r>
    </w:p>
    <w:p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  <w:t>Strategic Business Planning</w:t>
      </w:r>
    </w:p>
    <w:p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>
        <w:t>Business plans, financial modelling, growth strategies, and performance improvement planning.</w:t>
      </w:r>
    </w:p>
    <w:p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Clients should expect:</w:t>
      </w:r>
    </w:p>
    <w:p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Business growth strategy development</w:t>
      </w:r>
    </w:p>
    <w:p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Financial planning and modelling</w:t>
      </w:r>
    </w:p>
    <w:p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Market expansion advisory</w:t>
      </w:r>
    </w:p>
    <w:p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Risk assessment support</w:t>
      </w:r>
    </w:p>
    <w:p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Long-term performance planning</w:t>
      </w:r>
    </w:p>
    <w:p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  <w:t>EIS / SEIS Advisory</w:t>
      </w:r>
    </w:p>
    <w:p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>
        <w:t>Guidance on Enterprise Investment Scheme (EIS) and Seed Enterprise Investment Scheme (SEIS) eligibility and structuring.</w:t>
      </w:r>
    </w:p>
    <w:p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Clients should expect:</w:t>
      </w:r>
    </w:p>
    <w:p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Eligibility assessment</w:t>
      </w:r>
    </w:p>
    <w:p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Structuring advice for investors</w:t>
      </w:r>
    </w:p>
    <w:p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HMRC advance assurance support</w:t>
      </w:r>
    </w:p>
    <w:p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Compliance documentation preparation</w:t>
      </w:r>
    </w:p>
    <w:p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Investor tax benefit guidance</w:t>
      </w:r>
    </w:p>
    <w:p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  <w:t>SSAS (Small Self-Administered Schemes)</w:t>
      </w:r>
    </w:p>
    <w:p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t>Pension scheme advisory and structuring for business owners.</w:t>
      </w:r>
    </w:p>
    <w:p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Clients should expect:</w:t>
      </w:r>
    </w:p>
    <w:p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Pension scheme setup guidance</w:t>
      </w:r>
    </w:p>
    <w:p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Regulatory compliance support</w:t>
      </w:r>
    </w:p>
    <w:p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Investment planning within the scheme</w:t>
      </w:r>
    </w:p>
    <w:p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Administration assistance</w:t>
      </w:r>
    </w:p>
    <w:p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Ongoing advisory support</w:t>
      </w:r>
    </w:p>
    <w:p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  <w:t>Remuneration &amp; Dividend Planning</w:t>
      </w:r>
    </w:p>
    <w:p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>
        <w:t>Tax-efficient salary and dividend structuring for directors and shareholders</w:t>
      </w:r>
    </w:p>
    <w:p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Clients should expect:</w:t>
      </w:r>
    </w:p>
    <w:p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Tax-efficient salary/dividend structuring</w:t>
      </w:r>
    </w:p>
    <w:p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Director remuneration planning</w:t>
      </w:r>
    </w:p>
    <w:p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Payroll and dividend documentation</w:t>
      </w:r>
    </w:p>
    <w:p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Annual remuneration reviews</w:t>
      </w:r>
    </w:p>
    <w:p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Tax optimisation recommendations</w:t>
      </w:r>
    </w:p>
    <w:p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  <w:t>Succession Planning</w:t>
      </w:r>
    </w:p>
    <w:p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>
        <w:t>Ownership transition planning, exit strategies, and business continuity planning.</w:t>
      </w:r>
    </w:p>
    <w:p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Clients should expect:</w:t>
      </w:r>
    </w:p>
    <w:p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Ownership transition planning</w:t>
      </w:r>
    </w:p>
    <w:p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Business continuity strategies</w:t>
      </w:r>
    </w:p>
    <w:p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Share transfer structuring</w:t>
      </w:r>
    </w:p>
    <w:p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Exit strategy advisory</w:t>
      </w:r>
    </w:p>
    <w:p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Family business succession guidance</w:t>
      </w:r>
    </w:p>
    <w:p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  <w:t>Capital Allowances Advisory</w:t>
      </w:r>
    </w:p>
    <w:p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kern w:val="0"/>
          <w:sz w:val="36"/>
          <w:szCs w:val="36"/>
          <w14:ligatures w14:val="none"/>
        </w:rPr>
      </w:pPr>
      <w:r>
        <w:t>Identification of qualifying assets to maximise tax deductions.</w:t>
      </w:r>
    </w:p>
    <w:p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Clients should expect:</w:t>
      </w:r>
    </w:p>
    <w:p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Identification of qualifying assets</w:t>
      </w:r>
    </w:p>
    <w:p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Maximisation of tax deductions</w:t>
      </w:r>
    </w:p>
    <w:p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Claim preparation support</w:t>
      </w:r>
    </w:p>
    <w:p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Tax planning integration</w:t>
      </w:r>
    </w:p>
    <w:p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  <w:r>
        <w:rPr>
          <w:rFonts w:ascii="Times New Roman" w:hAnsi="Times New Roman" w:eastAsia="Times New Roman" w:cs="Times New Roman"/>
          <w:kern w:val="0"/>
          <w14:ligatures w14:val="none"/>
        </w:rPr>
        <w:t>Compliance with HMRC rules</w:t>
      </w:r>
    </w:p>
    <w:p>
      <w:pPr>
        <w:spacing w:after="0" w:line="240" w:lineRule="auto"/>
        <w:rPr>
          <w:rFonts w:ascii="Times New Roman" w:hAnsi="Times New Roman" w:eastAsia="Times New Roman" w:cs="Times New Roman"/>
          <w:kern w:val="0"/>
          <w14:ligatures w14:val="none"/>
        </w:rPr>
      </w:pPr>
    </w:p>
    <w:p>
      <w:bookmarkStart w:id="0" w:name="_GoBack"/>
      <w:bookmarkEnd w:id="0"/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AnjaliOldLipi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jaliOldLipi">
    <w:panose1 w:val="02000603000000000000"/>
    <w:charset w:val="00"/>
    <w:family w:val="auto"/>
    <w:pitch w:val="default"/>
    <w:sig w:usb0="80800001" w:usb1="00002000" w:usb2="00000000" w:usb3="00000000" w:csb0="00000001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等线">
    <w:altName w:val="Gubb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ubbi">
    <w:panose1 w:val="00000400000000000000"/>
    <w:charset w:val="00"/>
    <w:family w:val="auto"/>
    <w:pitch w:val="default"/>
    <w:sig w:usb0="00400000" w:usb1="00000000" w:usb2="00000000" w:usb3="00000000" w:csb0="00000000" w:csb1="00000000"/>
  </w:font>
  <w:font w:name="等线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OpenSymbol"/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OpenSymbol">
    <w:panose1 w:val="05010000000000000000"/>
    <w:charset w:val="00"/>
    <w:family w:val="auto"/>
    <w:pitch w:val="default"/>
    <w:sig w:usb0="800000AF" w:usb1="1001ECEA" w:usb2="00000000" w:usb3="00000000" w:csb0="80000001" w:csb1="00000000"/>
  </w:font>
  <w:font w:name="Wingdings">
    <w:altName w:val="AnjaliOldLipi"/>
    <w:panose1 w:val="05000000000000000000"/>
    <w:charset w:val="4D"/>
    <w:family w:val="decorative"/>
    <w:pitch w:val="default"/>
    <w:sig w:usb0="00000000" w:usb1="00000000" w:usb2="00000000" w:usb3="00000000" w:csb0="80000001" w:csb1="00000000"/>
  </w:font>
  <w:font w:name="Abyssinica SIL">
    <w:panose1 w:val="02000000000000000000"/>
    <w:charset w:val="00"/>
    <w:family w:val="auto"/>
    <w:pitch w:val="default"/>
    <w:sig w:usb0="800000EF" w:usb1="5200A14B" w:usb2="08000828" w:usb3="00000000" w:csb0="2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E03C80"/>
    <w:multiLevelType w:val="multilevel"/>
    <w:tmpl w:val="04E03C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C375431"/>
    <w:multiLevelType w:val="multilevel"/>
    <w:tmpl w:val="0C3754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FF13848"/>
    <w:multiLevelType w:val="multilevel"/>
    <w:tmpl w:val="0FF138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16572BF"/>
    <w:multiLevelType w:val="multilevel"/>
    <w:tmpl w:val="116572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6804E6D"/>
    <w:multiLevelType w:val="multilevel"/>
    <w:tmpl w:val="16804E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50D1EB5"/>
    <w:multiLevelType w:val="multilevel"/>
    <w:tmpl w:val="250D1E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25DC1011"/>
    <w:multiLevelType w:val="multilevel"/>
    <w:tmpl w:val="25DC10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28A2173B"/>
    <w:multiLevelType w:val="multilevel"/>
    <w:tmpl w:val="28A217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2D97399B"/>
    <w:multiLevelType w:val="multilevel"/>
    <w:tmpl w:val="2D9739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35E008EA"/>
    <w:multiLevelType w:val="multilevel"/>
    <w:tmpl w:val="35E008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3A37021B"/>
    <w:multiLevelType w:val="multilevel"/>
    <w:tmpl w:val="3A37021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3C460C37"/>
    <w:multiLevelType w:val="multilevel"/>
    <w:tmpl w:val="3C460C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4795644E"/>
    <w:multiLevelType w:val="multilevel"/>
    <w:tmpl w:val="479564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48471F9A"/>
    <w:multiLevelType w:val="multilevel"/>
    <w:tmpl w:val="48471F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492267FE"/>
    <w:multiLevelType w:val="multilevel"/>
    <w:tmpl w:val="492267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50AB69F4"/>
    <w:multiLevelType w:val="multilevel"/>
    <w:tmpl w:val="50AB69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513C33AD"/>
    <w:multiLevelType w:val="multilevel"/>
    <w:tmpl w:val="513C33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51B97C7C"/>
    <w:multiLevelType w:val="multilevel"/>
    <w:tmpl w:val="51B97C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>
    <w:nsid w:val="553B7EA8"/>
    <w:multiLevelType w:val="multilevel"/>
    <w:tmpl w:val="553B7E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>
    <w:nsid w:val="605F5D4B"/>
    <w:multiLevelType w:val="multilevel"/>
    <w:tmpl w:val="605F5D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>
    <w:nsid w:val="6D164457"/>
    <w:multiLevelType w:val="multilevel"/>
    <w:tmpl w:val="6D1644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>
    <w:nsid w:val="7CCA1F21"/>
    <w:multiLevelType w:val="multilevel"/>
    <w:tmpl w:val="7CCA1F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>
    <w:nsid w:val="7CEE07D3"/>
    <w:multiLevelType w:val="multilevel"/>
    <w:tmpl w:val="7CEE07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5"/>
  </w:num>
  <w:num w:numId="2">
    <w:abstractNumId w:val="1"/>
  </w:num>
  <w:num w:numId="3">
    <w:abstractNumId w:val="7"/>
  </w:num>
  <w:num w:numId="4">
    <w:abstractNumId w:val="3"/>
  </w:num>
  <w:num w:numId="5">
    <w:abstractNumId w:val="20"/>
  </w:num>
  <w:num w:numId="6">
    <w:abstractNumId w:val="16"/>
  </w:num>
  <w:num w:numId="7">
    <w:abstractNumId w:val="18"/>
  </w:num>
  <w:num w:numId="8">
    <w:abstractNumId w:val="14"/>
  </w:num>
  <w:num w:numId="9">
    <w:abstractNumId w:val="12"/>
  </w:num>
  <w:num w:numId="10">
    <w:abstractNumId w:val="2"/>
  </w:num>
  <w:num w:numId="11">
    <w:abstractNumId w:val="19"/>
  </w:num>
  <w:num w:numId="12">
    <w:abstractNumId w:val="22"/>
  </w:num>
  <w:num w:numId="13">
    <w:abstractNumId w:val="13"/>
  </w:num>
  <w:num w:numId="14">
    <w:abstractNumId w:val="6"/>
  </w:num>
  <w:num w:numId="15">
    <w:abstractNumId w:val="21"/>
  </w:num>
  <w:num w:numId="16">
    <w:abstractNumId w:val="9"/>
  </w:num>
  <w:num w:numId="17">
    <w:abstractNumId w:val="10"/>
  </w:num>
  <w:num w:numId="18">
    <w:abstractNumId w:val="11"/>
  </w:num>
  <w:num w:numId="19">
    <w:abstractNumId w:val="8"/>
  </w:num>
  <w:num w:numId="20">
    <w:abstractNumId w:val="15"/>
  </w:num>
  <w:num w:numId="21">
    <w:abstractNumId w:val="0"/>
  </w:num>
  <w:num w:numId="22">
    <w:abstractNumId w:val="4"/>
  </w:num>
  <w:num w:numId="2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1687"/>
    <w:rsid w:val="00046046"/>
    <w:rsid w:val="000A0AE9"/>
    <w:rsid w:val="00132B18"/>
    <w:rsid w:val="002725C8"/>
    <w:rsid w:val="003E5444"/>
    <w:rsid w:val="003F2F16"/>
    <w:rsid w:val="005076A4"/>
    <w:rsid w:val="005678AC"/>
    <w:rsid w:val="0096238C"/>
    <w:rsid w:val="00AB5EF3"/>
    <w:rsid w:val="00C632BE"/>
    <w:rsid w:val="00CB66D9"/>
    <w:rsid w:val="00D0763F"/>
    <w:rsid w:val="00DE1687"/>
    <w:rsid w:val="00FA6BB2"/>
    <w:rsid w:val="5FFF4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zh-C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Intense Quote Char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1447</Words>
  <Characters>9264</Characters>
  <Lines>162</Lines>
  <Paragraphs>54</Paragraphs>
  <TotalTime>51</TotalTime>
  <ScaleCrop>false</ScaleCrop>
  <LinksUpToDate>false</LinksUpToDate>
  <CharactersWithSpaces>10657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2026-02-15T16:22:00Z</dcterms:created>
  <dc:creator>Saeed Hashi Hashi</dc:creator>
  <cp:lastModifiedBy>zack</cp:lastModifiedBy>
  <dcterms:modified xsi:type="dcterms:W3CDTF">2026-02-15T19:18:02Z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