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atlas"/>
    <w:p>
      <w:pPr>
        <w:pStyle w:val="Heading1"/>
      </w:pPr>
      <w:r>
        <w:t xml:space="preserve">ATLAS</w:t>
      </w:r>
    </w:p>
    <w:bookmarkStart w:id="10" w:name="X639d7b6bd8fd83bed36312ef6c5d2e66617e3e2"/>
    <w:p>
      <w:pPr>
        <w:pStyle w:val="Heading2"/>
      </w:pPr>
      <w:r>
        <w:t xml:space="preserve">Simulateur de Stratégie d’Entreprise Multi-DAS</w:t>
      </w:r>
    </w:p>
    <w:bookmarkStart w:id="9" w:name="Xdd6cc32599aca9df73f5fa994f17278b4c37910"/>
    <w:p>
      <w:pPr>
        <w:pStyle w:val="Heading3"/>
      </w:pPr>
      <w:r>
        <w:t xml:space="preserve">Pédagogie de la décision, compétitivité temps réel, débriefing stratégique</w:t>
      </w:r>
    </w:p>
    <w:p>
      <w:r>
        <w:pict>
          <v:rect style="width:0;height:1.5pt" o:hralign="center" o:hrstd="t" o:hr="t"/>
        </w:pict>
      </w:r>
    </w:p>
    <w:p>
      <w:pPr>
        <w:pStyle w:val="FirstParagraph"/>
      </w:pPr>
      <w:r>
        <w:t xml:space="preserve">Pour universités internationales • Contexte marocain</w:t>
      </w:r>
    </w:p>
    <w:p>
      <w:r>
        <w:pict>
          <v:rect style="width:0;height:1.5pt" o:hralign="center" o:hrstd="t" o:hr="t"/>
        </w:pict>
      </w:r>
    </w:p>
    <w:bookmarkEnd w:id="9"/>
    <w:bookmarkEnd w:id="10"/>
    <w:bookmarkEnd w:id="11"/>
    <w:bookmarkStart w:id="14" w:name="atlas-en-30-secondes"/>
    <w:p>
      <w:pPr>
        <w:pStyle w:val="Heading1"/>
      </w:pPr>
      <w:r>
        <w:t xml:space="preserve">ATLAS EN 30 SECONDES</w:t>
      </w:r>
    </w:p>
    <w:p>
      <w:pPr>
        <w:pStyle w:val="FirstParagraph"/>
      </w:pPr>
      <w:r>
        <w:t xml:space="preserve">Atlas est un simulateur de stratégie d’entreprise en temps réel conçu pour les universités. Des équipes d’étudiants dirigent une multinationale marocaine en concurrence directe. Chaque tour, elles arbitrent sur sept plans stratégiques : portefeuille, production, achats, distribution, RH, finance et organisation. Un moteur de calcul sophistiqué redistribue les parts de marché à somme nulle, révèle les résultats en direct, et livre un audit d’alignement stratégique.</w:t>
      </w:r>
    </w:p>
    <w:p>
      <w:pPr>
        <w:pStyle w:val="BodyText"/>
      </w:pPr>
      <w:r>
        <w:t xml:space="preserve">Résultat : les étudiants vivent la différence entre la stratégie déclarée et la cohérence exécutée. Ils débattent d’arbitrages réalistes. Ils apprennent que chaque décision a un coût et que les classements changent sur la qualité de l’alignement, pas sur le budgetage brut.</w:t>
      </w:r>
    </w:p>
    <w:bookmarkStart w:id="12" w:name="X007fbe9a399f539c7b07569ebac88dd3929fc80"/>
    <w:p>
      <w:pPr>
        <w:pStyle w:val="Heading2"/>
      </w:pPr>
      <w:r>
        <w:t xml:space="preserve">UN ATELIER COMPLET = 3 À 10 TOURS EN 6 À 8 HEURES</w:t>
      </w:r>
    </w:p>
    <w:p>
      <w:pPr>
        <w:pStyle w:val="Compact"/>
        <w:numPr>
          <w:ilvl w:val="0"/>
          <w:numId w:val="1001"/>
        </w:numPr>
      </w:pPr>
      <w:r>
        <w:t xml:space="preserve">Onboarding et découverte (tour 0) : 45 minutes</w:t>
      </w:r>
    </w:p>
    <w:p>
      <w:pPr>
        <w:pStyle w:val="Compact"/>
        <w:numPr>
          <w:ilvl w:val="0"/>
          <w:numId w:val="1001"/>
        </w:numPr>
      </w:pPr>
      <w:r>
        <w:t xml:space="preserve">Boucle pédagogique par tour : décisions (30 min) → résolution serveur (3 sec) → révélation en direct (3 min) → débriefing (15 min)</w:t>
      </w:r>
    </w:p>
    <w:p>
      <w:pPr>
        <w:pStyle w:val="Compact"/>
        <w:numPr>
          <w:ilvl w:val="0"/>
          <w:numId w:val="1001"/>
        </w:numPr>
      </w:pPr>
      <w:r>
        <w:t xml:space="preserve">Facilitateur = régisseur : contrôle le timing, déclenche les crises, pilote le débriefing</w:t>
      </w:r>
    </w:p>
    <w:p>
      <w:pPr>
        <w:pStyle w:val="Compact"/>
        <w:numPr>
          <w:ilvl w:val="0"/>
          <w:numId w:val="1001"/>
        </w:numPr>
      </w:pPr>
      <w:r>
        <w:t xml:space="preserve">Application web, temps réel, auto-sauvegarde locale, aucune dépendance réseau</w:t>
      </w:r>
    </w:p>
    <w:bookmarkEnd w:id="12"/>
    <w:bookmarkStart w:id="13" w:name="X540334b1ea251919a909421d6ea4fc716e69560"/>
    <w:p>
      <w:pPr>
        <w:pStyle w:val="Heading2"/>
      </w:pPr>
      <w:r>
        <w:t xml:space="preserve">CE QUI LE DISTINGUE DES TABLEURS DE GESTION</w:t>
      </w:r>
    </w:p>
    <w:p>
      <w:pPr>
        <w:pStyle w:val="Compact"/>
        <w:numPr>
          <w:ilvl w:val="0"/>
          <w:numId w:val="1002"/>
        </w:numPr>
      </w:pPr>
      <w:r>
        <w:rPr>
          <w:b/>
          <w:bCs/>
        </w:rPr>
        <w:t xml:space="preserve">Indice d’Alignement</w:t>
      </w:r>
      <w:r>
        <w:t xml:space="preserve"> </w:t>
      </w:r>
      <w:r>
        <w:t xml:space="preserve">: mesure la cohérence entre la stratégie déclarée et l’exécution réelle. Récompense la lucidité.</w:t>
      </w:r>
    </w:p>
    <w:p>
      <w:pPr>
        <w:pStyle w:val="Compact"/>
        <w:numPr>
          <w:ilvl w:val="0"/>
          <w:numId w:val="1002"/>
        </w:numPr>
      </w:pPr>
      <w:r>
        <w:rPr>
          <w:b/>
          <w:bCs/>
        </w:rPr>
        <w:t xml:space="preserve">Asymétrie d’information contrôlée</w:t>
      </w:r>
      <w:r>
        <w:t xml:space="preserve"> </w:t>
      </w:r>
      <w:r>
        <w:t xml:space="preserve">: le cabinet vend des études à trois paliers. Payer moins donne des chiffres moins exacts, jamais moins de sujets.</w:t>
      </w:r>
    </w:p>
    <w:p>
      <w:pPr>
        <w:pStyle w:val="Compact"/>
        <w:numPr>
          <w:ilvl w:val="0"/>
          <w:numId w:val="1002"/>
        </w:numPr>
      </w:pPr>
      <w:r>
        <w:rPr>
          <w:b/>
          <w:bCs/>
        </w:rPr>
        <w:t xml:space="preserve">Marché de cession de DAS</w:t>
      </w:r>
      <w:r>
        <w:t xml:space="preserve"> </w:t>
      </w:r>
      <w:r>
        <w:t xml:space="preserve">: enchères scellées inter-équipes + offre NPC. Permet aux équipes en difficulté de pivoter.</w:t>
      </w:r>
    </w:p>
    <w:p>
      <w:pPr>
        <w:pStyle w:val="Compact"/>
        <w:numPr>
          <w:ilvl w:val="0"/>
          <w:numId w:val="1002"/>
        </w:numPr>
      </w:pPr>
      <w:r>
        <w:rPr>
          <w:b/>
          <w:bCs/>
        </w:rPr>
        <w:t xml:space="preserve">Moteur déterministe</w:t>
      </w:r>
      <w:r>
        <w:t xml:space="preserve"> </w:t>
      </w:r>
      <w:r>
        <w:t xml:space="preserve">: tous les aléas sont rejoués sur une graine. Tout litige peut être explicité en 90 secondes.</w:t>
      </w:r>
    </w:p>
    <w:p>
      <w:r>
        <w:pict>
          <v:rect style="width:0;height:1.5pt" o:hralign="center" o:hrstd="t" o:hr="t"/>
        </w:pict>
      </w:r>
    </w:p>
    <w:bookmarkEnd w:id="13"/>
    <w:bookmarkEnd w:id="14"/>
    <w:bookmarkStart w:id="18" w:name="structure-du-jeu"/>
    <w:p>
      <w:pPr>
        <w:pStyle w:val="Heading1"/>
      </w:pPr>
      <w:r>
        <w:t xml:space="preserve">1. STRUCTURE DU JEU</w:t>
      </w:r>
    </w:p>
    <w:bookmarkStart w:id="15" w:name="la-boucle-pédagogique"/>
    <w:p>
      <w:pPr>
        <w:pStyle w:val="Heading2"/>
      </w:pPr>
      <w:r>
        <w:t xml:space="preserve">La boucle pédagogique</w:t>
      </w:r>
    </w:p>
    <w:p>
      <w:pPr>
        <w:pStyle w:val="FirstParagraph"/>
      </w:pPr>
      <w:r>
        <w:t xml:space="preserve">Une session Atlas suit toujours le même cycle :</w:t>
      </w:r>
    </w:p>
    <w:p>
      <w:pPr>
        <w:pStyle w:val="Compact"/>
        <w:numPr>
          <w:ilvl w:val="0"/>
          <w:numId w:val="1003"/>
        </w:numPr>
      </w:pPr>
      <w:r>
        <w:rPr>
          <w:b/>
          <w:bCs/>
        </w:rPr>
        <w:t xml:space="preserve">Tour actif</w:t>
      </w:r>
      <w:r>
        <w:t xml:space="preserve"> </w:t>
      </w:r>
      <w:r>
        <w:t xml:space="preserve">: les équipes saisissent leurs décisions sur 7 volets simultanément. Chronomètre indicatif (les équipes décident du rythme).</w:t>
      </w:r>
    </w:p>
    <w:p>
      <w:pPr>
        <w:pStyle w:val="Compact"/>
        <w:numPr>
          <w:ilvl w:val="0"/>
          <w:numId w:val="1003"/>
        </w:numPr>
      </w:pPr>
      <w:r>
        <w:rPr>
          <w:b/>
          <w:bCs/>
        </w:rPr>
        <w:t xml:space="preserve">Verrouillage</w:t>
      </w:r>
      <w:r>
        <w:t xml:space="preserve"> </w:t>
      </w:r>
      <w:r>
        <w:t xml:space="preserve">: transaction atomique. Toutes les équipes figées au même instant.</w:t>
      </w:r>
    </w:p>
    <w:p>
      <w:pPr>
        <w:pStyle w:val="Compact"/>
        <w:numPr>
          <w:ilvl w:val="0"/>
          <w:numId w:val="1003"/>
        </w:numPr>
      </w:pPr>
      <w:r>
        <w:rPr>
          <w:b/>
          <w:bCs/>
        </w:rPr>
        <w:t xml:space="preserve">Résolution</w:t>
      </w:r>
      <w:r>
        <w:t xml:space="preserve"> </w:t>
      </w:r>
      <w:r>
        <w:t xml:space="preserve">: moteur serveur calcule les coûts, la compétitivité, les parts de marché, les alignements. 2,9 sec pour 3 équipes.</w:t>
      </w:r>
    </w:p>
    <w:p>
      <w:pPr>
        <w:pStyle w:val="Compact"/>
        <w:numPr>
          <w:ilvl w:val="0"/>
          <w:numId w:val="1003"/>
        </w:numPr>
      </w:pPr>
      <w:r>
        <w:rPr>
          <w:b/>
          <w:bCs/>
        </w:rPr>
        <w:t xml:space="preserve">Révélation animée</w:t>
      </w:r>
      <w:r>
        <w:t xml:space="preserve"> </w:t>
      </w:r>
      <w:r>
        <w:t xml:space="preserve">: barre empilée en temps réel, décomposition par équipe, aucune équipe ne voit les résultats avant les autres.</w:t>
      </w:r>
    </w:p>
    <w:p>
      <w:pPr>
        <w:pStyle w:val="Compact"/>
        <w:numPr>
          <w:ilvl w:val="0"/>
          <w:numId w:val="1003"/>
        </w:numPr>
      </w:pPr>
      <w:r>
        <w:rPr>
          <w:b/>
          <w:bCs/>
        </w:rPr>
        <w:t xml:space="preserve">Débriefing</w:t>
      </w:r>
      <w:r>
        <w:t xml:space="preserve"> </w:t>
      </w:r>
      <w:r>
        <w:t xml:space="preserve">: les équipes lisent leurs rapports (si achetés), débattent, téléchargent les Excel.</w:t>
      </w:r>
    </w:p>
    <w:p>
      <w:pPr>
        <w:pStyle w:val="Compact"/>
        <w:numPr>
          <w:ilvl w:val="0"/>
          <w:numId w:val="1003"/>
        </w:numPr>
      </w:pPr>
      <w:r>
        <w:rPr>
          <w:b/>
          <w:bCs/>
        </w:rPr>
        <w:t xml:space="preserve">Le facilitateur ouvre le tour suivant</w:t>
      </w:r>
      <w:r>
        <w:t xml:space="preserve"> </w:t>
      </w:r>
      <w:r>
        <w:t xml:space="preserve">— ou clôt la session entre le 3ᵉ et le 10ᵉ tour.</w:t>
      </w:r>
    </w:p>
    <w:bookmarkEnd w:id="15"/>
    <w:bookmarkStart w:id="16" w:name="les-sept-plans-de-décision"/>
    <w:p>
      <w:pPr>
        <w:pStyle w:val="Heading2"/>
      </w:pPr>
      <w:r>
        <w:t xml:space="preserve">Les sept plans de décision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Plan</w:t>
            </w:r>
          </w:p>
        </w:tc>
        <w:tc>
          <w:tcPr/>
          <w:p>
            <w:pPr>
              <w:pStyle w:val="Compact"/>
            </w:pPr>
            <w:r>
              <w:t xml:space="preserve">Niveau</w:t>
            </w:r>
          </w:p>
        </w:tc>
        <w:tc>
          <w:tcPr/>
          <w:p>
            <w:pPr>
              <w:pStyle w:val="Compact"/>
            </w:pPr>
            <w:r>
              <w:t xml:space="preserve">Décisions clés</w:t>
            </w:r>
          </w:p>
        </w:tc>
      </w:tr>
      <w:tr>
        <w:tc>
          <w:tcPr/>
          <w:p>
            <w:pPr>
              <w:pStyle w:val="Compact"/>
            </w:pPr>
            <w:r>
              <w:rPr>
                <w:b/>
                <w:bCs/>
              </w:rPr>
              <w:t xml:space="preserve">Portefeuille</w:t>
            </w:r>
          </w:p>
        </w:tc>
        <w:tc>
          <w:tcPr/>
          <w:p>
            <w:pPr>
              <w:pStyle w:val="Compact"/>
            </w:pPr>
            <w:r>
              <w:t xml:space="preserve">Groupe</w:t>
            </w:r>
          </w:p>
        </w:tc>
        <w:tc>
          <w:tcPr/>
          <w:p>
            <w:pPr>
              <w:pStyle w:val="Compact"/>
            </w:pPr>
            <w:r>
              <w:t xml:space="preserve">Stratégie corp. · Lancement DAS · Océan bleu · Cession DAS</w:t>
            </w:r>
          </w:p>
        </w:tc>
      </w:tr>
      <w:tr>
        <w:tc>
          <w:tcPr/>
          <w:p>
            <w:pPr>
              <w:pStyle w:val="Compact"/>
            </w:pPr>
            <w:r>
              <w:rPr>
                <w:b/>
                <w:bCs/>
              </w:rPr>
              <w:t xml:space="preserve">Business</w:t>
            </w:r>
          </w:p>
        </w:tc>
        <w:tc>
          <w:tcPr/>
          <w:p>
            <w:pPr>
              <w:pStyle w:val="Compact"/>
            </w:pPr>
            <w:r>
              <w:t xml:space="preserve">Par DAS</w:t>
            </w:r>
          </w:p>
        </w:tc>
        <w:tc>
          <w:tcPr/>
          <w:p>
            <w:pPr>
              <w:pStyle w:val="Compact"/>
            </w:pPr>
            <w:r>
              <w:t xml:space="preserve">Stratégie générique · Prix · Segments</w:t>
            </w:r>
          </w:p>
        </w:tc>
      </w:tr>
      <w:tr>
        <w:tc>
          <w:tcPr/>
          <w:p>
            <w:pPr>
              <w:pStyle w:val="Compact"/>
            </w:pPr>
            <w:r>
              <w:rPr>
                <w:b/>
                <w:bCs/>
              </w:rPr>
              <w:t xml:space="preserve">Production</w:t>
            </w:r>
          </w:p>
        </w:tc>
        <w:tc>
          <w:tcPr/>
          <w:p>
            <w:pPr>
              <w:pStyle w:val="Compact"/>
            </w:pPr>
            <w:r>
              <w:t xml:space="preserve">Par DAS</w:t>
            </w:r>
          </w:p>
        </w:tc>
        <w:tc>
          <w:tcPr/>
          <w:p>
            <w:pPr>
              <w:pStyle w:val="Compact"/>
            </w:pPr>
            <w:r>
              <w:t xml:space="preserve">CAPEX capacité · Automatisation · R&amp;D</w:t>
            </w:r>
          </w:p>
        </w:tc>
      </w:tr>
      <w:tr>
        <w:tc>
          <w:tcPr/>
          <w:p>
            <w:pPr>
              <w:pStyle w:val="Compact"/>
            </w:pPr>
            <w:r>
              <w:rPr>
                <w:b/>
                <w:bCs/>
              </w:rPr>
              <w:t xml:space="preserve">Achats</w:t>
            </w:r>
          </w:p>
        </w:tc>
        <w:tc>
          <w:tcPr/>
          <w:p>
            <w:pPr>
              <w:pStyle w:val="Compact"/>
            </w:pPr>
            <w:r>
              <w:t xml:space="preserve">Par DAS</w:t>
            </w:r>
          </w:p>
        </w:tc>
        <w:tc>
          <w:tcPr/>
          <w:p>
            <w:pPr>
              <w:pStyle w:val="Compact"/>
            </w:pPr>
            <w:r>
              <w:t xml:space="preserve">Fournisseurs · Volumes engagés · Négociation</w:t>
            </w:r>
          </w:p>
        </w:tc>
      </w:tr>
      <w:tr>
        <w:tc>
          <w:tcPr/>
          <w:p>
            <w:pPr>
              <w:pStyle w:val="Compact"/>
            </w:pPr>
            <w:r>
              <w:rPr>
                <w:b/>
                <w:bCs/>
              </w:rPr>
              <w:t xml:space="preserve">Distribution</w:t>
            </w:r>
          </w:p>
        </w:tc>
        <w:tc>
          <w:tcPr/>
          <w:p>
            <w:pPr>
              <w:pStyle w:val="Compact"/>
            </w:pPr>
            <w:r>
              <w:t xml:space="preserve">Par DAS</w:t>
            </w:r>
          </w:p>
        </w:tc>
        <w:tc>
          <w:tcPr/>
          <w:p>
            <w:pPr>
              <w:pStyle w:val="Compact"/>
            </w:pPr>
            <w:r>
              <w:t xml:space="preserve">Canaux · Couverture · Réseau propre</w:t>
            </w:r>
          </w:p>
        </w:tc>
      </w:tr>
      <w:tr>
        <w:tc>
          <w:tcPr/>
          <w:p>
            <w:pPr>
              <w:pStyle w:val="Compact"/>
            </w:pPr>
            <w:r>
              <w:rPr>
                <w:b/>
                <w:bCs/>
              </w:rPr>
              <w:t xml:space="preserve">Organisation</w:t>
            </w:r>
          </w:p>
        </w:tc>
        <w:tc>
          <w:tcPr/>
          <w:p>
            <w:pPr>
              <w:pStyle w:val="Compact"/>
            </w:pPr>
            <w:r>
              <w:t xml:space="preserve">Groupe + RH</w:t>
            </w:r>
          </w:p>
        </w:tc>
        <w:tc>
          <w:tcPr/>
          <w:p>
            <w:pPr>
              <w:pStyle w:val="Compact"/>
            </w:pPr>
            <w:r>
              <w:t xml:space="preserve">Structure · Centralisation · Recrutement · Formation</w:t>
            </w:r>
          </w:p>
        </w:tc>
      </w:tr>
      <w:tr>
        <w:tc>
          <w:tcPr/>
          <w:p>
            <w:pPr>
              <w:pStyle w:val="Compact"/>
            </w:pPr>
            <w:r>
              <w:rPr>
                <w:b/>
                <w:bCs/>
              </w:rPr>
              <w:t xml:space="preserve">Finance</w:t>
            </w:r>
          </w:p>
        </w:tc>
        <w:tc>
          <w:tcPr/>
          <w:p>
            <w:pPr>
              <w:pStyle w:val="Compact"/>
            </w:pPr>
            <w:r>
              <w:t xml:space="preserve">Groupe</w:t>
            </w:r>
          </w:p>
        </w:tc>
        <w:tc>
          <w:tcPr/>
          <w:p>
            <w:pPr>
              <w:pStyle w:val="Compact"/>
            </w:pPr>
            <w:r>
              <w:t xml:space="preserve">OPEX · Dette · Fiscalité · Études cabinet</w:t>
            </w:r>
          </w:p>
        </w:tc>
      </w:tr>
    </w:tbl>
    <w:bookmarkEnd w:id="16"/>
    <w:bookmarkStart w:id="17" w:name="lécosystème-marocain"/>
    <w:p>
      <w:pPr>
        <w:pStyle w:val="Heading2"/>
      </w:pPr>
      <w:r>
        <w:t xml:space="preserve">L’écosystème marocain</w:t>
      </w:r>
    </w:p>
    <w:p>
      <w:pPr>
        <w:pStyle w:val="FirstParagraph"/>
      </w:pPr>
      <w:r>
        <w:t xml:space="preserve">Chaque DAS est ancré dans l’écosystème marocain réel avec 8 secteurs d’activité stratégiques :</w:t>
      </w:r>
    </w:p>
    <w:p>
      <w:pPr>
        <w:pStyle w:val="Compact"/>
        <w:numPr>
          <w:ilvl w:val="0"/>
          <w:numId w:val="1004"/>
        </w:numPr>
      </w:pPr>
      <w:r>
        <w:t xml:space="preserve">Agro-industrie · Distribution alimentaire · Tourisme · Matériel industriel · Textile-habillement · Énergie · Télécommunications · Santé</w:t>
      </w:r>
    </w:p>
    <w:p>
      <w:pPr>
        <w:pStyle w:val="FirstParagraph"/>
      </w:pPr>
      <w:r>
        <w:t xml:space="preserve">Pour chaque DAS, 20 à 40 acteurs typés : fournisseurs, distributeurs, partenaires technologiques, cibles d’acquisition, concurrents NPC. Chacun porté par 12 variables qui évoluent par tour selon un scénario réaliste : CA, capacité, fiabilité, indice prix, délai, exigence de volume, santé financière, appétence à la cession.</w:t>
      </w:r>
    </w:p>
    <w:p>
      <w:pPr>
        <w:pStyle w:val="BodyText"/>
      </w:pPr>
      <w:r>
        <w:t xml:space="preserve">Les équipes achètent des études auprès d’un cabinet fictif pour révéler ces données progressivement. C’est la mécanique qui force l’arbitrage : rester aveugle ou dépenser de la trésorerie ?</w:t>
      </w:r>
    </w:p>
    <w:p>
      <w:r>
        <w:pict>
          <v:rect style="width:0;height:1.5pt" o:hralign="center" o:hrstd="t" o:hr="t"/>
        </w:pict>
      </w:r>
    </w:p>
    <w:bookmarkEnd w:id="17"/>
    <w:bookmarkEnd w:id="18"/>
    <w:bookmarkStart w:id="20" w:name="les-compétences-clés-développées"/>
    <w:p>
      <w:pPr>
        <w:pStyle w:val="Heading1"/>
      </w:pPr>
      <w:r>
        <w:t xml:space="preserve">2. LES COMPÉTENCES CLÉS DÉVELOPPÉES</w:t>
      </w:r>
    </w:p>
    <w:p>
      <w:pPr>
        <w:pStyle w:val="FirstParagraph"/>
      </w:pPr>
      <w:r>
        <w:t xml:space="preserve">Atlas cible cinq familles de compétences conformes aux référentiels AACSB et EQUIS.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Compétence</w:t>
            </w:r>
          </w:p>
        </w:tc>
        <w:tc>
          <w:tcPr/>
          <w:p>
            <w:pPr>
              <w:pStyle w:val="Compact"/>
            </w:pPr>
            <w:r>
              <w:t xml:space="preserve">Décodage</w:t>
            </w:r>
          </w:p>
        </w:tc>
      </w:tr>
      <w:tr>
        <w:tc>
          <w:tcPr/>
          <w:p>
            <w:pPr>
              <w:pStyle w:val="Compact"/>
            </w:pPr>
            <w:r>
              <w:rPr>
                <w:b/>
                <w:bCs/>
              </w:rPr>
              <w:t xml:space="preserve">Pensée stratégique</w:t>
            </w:r>
          </w:p>
        </w:tc>
        <w:tc>
          <w:tcPr/>
          <w:p>
            <w:pPr>
              <w:pStyle w:val="Compact"/>
            </w:pPr>
            <w:r>
              <w:t xml:space="preserve">Positionner un DAS (Porter), déclarer une stratégie corporate, détecter le milieu de gué, mesurer la distance entre l’intention et l’exécution.</w:t>
            </w:r>
          </w:p>
        </w:tc>
      </w:tr>
      <w:tr>
        <w:tc>
          <w:tcPr/>
          <w:p>
            <w:pPr>
              <w:pStyle w:val="Compact"/>
            </w:pPr>
            <w:r>
              <w:rPr>
                <w:b/>
                <w:bCs/>
              </w:rPr>
              <w:t xml:space="preserve">Arbitrage financier</w:t>
            </w:r>
          </w:p>
        </w:tc>
        <w:tc>
          <w:tcPr/>
          <w:p>
            <w:pPr>
              <w:pStyle w:val="Compact"/>
            </w:pPr>
            <w:r>
              <w:t xml:space="preserve">Construire un plan d’investissement sous contrainte de trésorerie. Trader croissance vs liquidité. Lire un P&amp;L, une courbe d’expérience, un effet de levier.</w:t>
            </w:r>
          </w:p>
        </w:tc>
      </w:tr>
      <w:tr>
        <w:tc>
          <w:tcPr/>
          <w:p>
            <w:pPr>
              <w:pStyle w:val="Compact"/>
            </w:pPr>
            <w:r>
              <w:rPr>
                <w:b/>
                <w:bCs/>
              </w:rPr>
              <w:t xml:space="preserve">Négociation</w:t>
            </w:r>
          </w:p>
        </w:tc>
        <w:tc>
          <w:tcPr/>
          <w:p>
            <w:pPr>
              <w:pStyle w:val="Compact"/>
            </w:pPr>
            <w:r>
              <w:t xml:space="preserve">Mesurer son pouvoir de négociation amont (fournisseurs) et aval (distributeurs) en fonction de sa part de volume, du nombre d’alternatives, du coût de changement.</w:t>
            </w:r>
          </w:p>
        </w:tc>
      </w:tr>
      <w:tr>
        <w:tc>
          <w:tcPr/>
          <w:p>
            <w:pPr>
              <w:pStyle w:val="Compact"/>
            </w:pPr>
            <w:r>
              <w:rPr>
                <w:b/>
                <w:bCs/>
              </w:rPr>
              <w:t xml:space="preserve">Décision en incertitude</w:t>
            </w:r>
          </w:p>
        </w:tc>
        <w:tc>
          <w:tcPr/>
          <w:p>
            <w:pPr>
              <w:pStyle w:val="Compact"/>
            </w:pPr>
            <w:r>
              <w:t xml:space="preserve">Arbitrer le coût d’une étude vs le risque de rester aveugle. Raisonner sur trois paliers de précision (±25 %, ±10 %, ±3 %).</w:t>
            </w:r>
          </w:p>
        </w:tc>
      </w:tr>
      <w:tr>
        <w:tc>
          <w:tcPr/>
          <w:p>
            <w:pPr>
              <w:pStyle w:val="Compact"/>
            </w:pPr>
            <w:r>
              <w:rPr>
                <w:b/>
                <w:bCs/>
              </w:rPr>
              <w:t xml:space="preserve">Leadership d’équipe</w:t>
            </w:r>
          </w:p>
        </w:tc>
        <w:tc>
          <w:tcPr/>
          <w:p>
            <w:pPr>
              <w:pStyle w:val="Compact"/>
            </w:pPr>
            <w:r>
              <w:t xml:space="preserve">Piloter un débat à cinq rôles (DG, DAF, DCM, DT, DRH) où les permissions sont identiques. Construire une décision collective dans un chronomètre.</w:t>
            </w:r>
          </w:p>
        </w:tc>
      </w:tr>
    </w:tbl>
    <w:bookmarkStart w:id="19" w:name="apprentissages-transversaux"/>
    <w:p>
      <w:pPr>
        <w:pStyle w:val="Heading2"/>
      </w:pPr>
      <w:r>
        <w:t xml:space="preserve">Apprentissages transversaux</w:t>
      </w:r>
    </w:p>
    <w:p>
      <w:pPr>
        <w:pStyle w:val="Compact"/>
        <w:numPr>
          <w:ilvl w:val="0"/>
          <w:numId w:val="1005"/>
        </w:numPr>
      </w:pPr>
      <w:r>
        <w:rPr>
          <w:b/>
          <w:bCs/>
        </w:rPr>
        <w:t xml:space="preserve">Raisonner sous incertitude</w:t>
      </w:r>
      <w:r>
        <w:t xml:space="preserve"> </w:t>
      </w:r>
      <w:r>
        <w:t xml:space="preserve">: l’étude coûteuse donne un ordre de grandeur, pas une certitude.</w:t>
      </w:r>
    </w:p>
    <w:p>
      <w:pPr>
        <w:pStyle w:val="Compact"/>
        <w:numPr>
          <w:ilvl w:val="0"/>
          <w:numId w:val="1005"/>
        </w:numPr>
      </w:pPr>
      <w:r>
        <w:rPr>
          <w:b/>
          <w:bCs/>
        </w:rPr>
        <w:t xml:space="preserve">Arbitrer entre opportunité et prudence</w:t>
      </w:r>
      <w:r>
        <w:t xml:space="preserve"> </w:t>
      </w:r>
      <w:r>
        <w:t xml:space="preserve">: acheter cher pour savoir, ou jouer sur l’incertitude ?</w:t>
      </w:r>
    </w:p>
    <w:p>
      <w:pPr>
        <w:pStyle w:val="Compact"/>
        <w:numPr>
          <w:ilvl w:val="0"/>
          <w:numId w:val="1005"/>
        </w:numPr>
      </w:pPr>
      <w:r>
        <w:rPr>
          <w:b/>
          <w:bCs/>
        </w:rPr>
        <w:t xml:space="preserve">Décider en équipe</w:t>
      </w:r>
      <w:r>
        <w:t xml:space="preserve"> </w:t>
      </w:r>
      <w:r>
        <w:t xml:space="preserve">: le facilitateur place les rôles (DG, DAF, DCM, DT, DRH) mais les permissions sont identiques. Le débat interne prime.</w:t>
      </w:r>
    </w:p>
    <w:p>
      <w:pPr>
        <w:pStyle w:val="Compact"/>
        <w:numPr>
          <w:ilvl w:val="0"/>
          <w:numId w:val="1005"/>
        </w:numPr>
      </w:pPr>
      <w:r>
        <w:rPr>
          <w:b/>
          <w:bCs/>
        </w:rPr>
        <w:t xml:space="preserve">Lire les chiffres, pas les graphiques</w:t>
      </w:r>
      <w:r>
        <w:t xml:space="preserve"> </w:t>
      </w:r>
      <w:r>
        <w:t xml:space="preserve">: Atlas livre des données Excel ; les analyses (BCG, Porter, VRIO) restent à faire.</w:t>
      </w:r>
    </w:p>
    <w:p>
      <w:pPr>
        <w:pStyle w:val="Compact"/>
        <w:numPr>
          <w:ilvl w:val="0"/>
          <w:numId w:val="1005"/>
        </w:numPr>
      </w:pPr>
      <w:r>
        <w:rPr>
          <w:b/>
          <w:bCs/>
        </w:rPr>
        <w:t xml:space="preserve">Accepter la sanction immédiate</w:t>
      </w:r>
      <w:r>
        <w:t xml:space="preserve"> </w:t>
      </w:r>
      <w:r>
        <w:t xml:space="preserve">: résultats révélés devant toute la salle. Pas de reprise de « tu l’as pas vue ».</w:t>
      </w:r>
    </w:p>
    <w:p>
      <w:r>
        <w:pict>
          <v:rect style="width:0;height:1.5pt" o:hralign="center" o:hrstd="t" o:hr="t"/>
        </w:pict>
      </w:r>
    </w:p>
    <w:bookmarkEnd w:id="19"/>
    <w:bookmarkEnd w:id="20"/>
    <w:bookmarkStart w:id="22" w:name="Xc9aea0fc57a669554b10d594e95df807407bfa6"/>
    <w:p>
      <w:pPr>
        <w:pStyle w:val="Heading1"/>
      </w:pPr>
      <w:r>
        <w:t xml:space="preserve">3. CATÉGORISATION DES ACTIVITÉS ET RÉFLEXIONS PÉDAGOGIQUES</w:t>
      </w:r>
    </w:p>
    <w:p>
      <w:pPr>
        <w:pStyle w:val="FirstParagraph"/>
      </w:pPr>
      <w:r>
        <w:t xml:space="preserve">Les activités dans Atlas se répartissent en cinq catégories pédagogiques, chacune avec sa fonction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Catégorie</w:t>
            </w:r>
          </w:p>
        </w:tc>
        <w:tc>
          <w:tcPr/>
          <w:p>
            <w:pPr>
              <w:pStyle w:val="Compact"/>
            </w:pPr>
            <w:r>
              <w:t xml:space="preserve">Fréquence</w:t>
            </w:r>
          </w:p>
        </w:tc>
        <w:tc>
          <w:tcPr/>
          <w:p>
            <w:pPr>
              <w:pStyle w:val="Compact"/>
            </w:pPr>
            <w:r>
              <w:t xml:space="preserve">Fonction pédagogique</w:t>
            </w:r>
          </w:p>
        </w:tc>
      </w:tr>
      <w:tr>
        <w:tc>
          <w:tcPr/>
          <w:p>
            <w:pPr>
              <w:pStyle w:val="Compact"/>
            </w:pPr>
            <w:r>
              <w:rPr>
                <w:b/>
                <w:bCs/>
              </w:rPr>
              <w:t xml:space="preserve">Saisie stratégique</w:t>
            </w:r>
          </w:p>
        </w:tc>
        <w:tc>
          <w:tcPr/>
          <w:p>
            <w:pPr>
              <w:pStyle w:val="Compact"/>
            </w:pPr>
            <w:r>
              <w:t xml:space="preserve">T0 + chaque tour</w:t>
            </w:r>
          </w:p>
        </w:tc>
        <w:tc>
          <w:tcPr/>
          <w:p>
            <w:pPr>
              <w:pStyle w:val="Compact"/>
            </w:pPr>
            <w:r>
              <w:t xml:space="preserve">Déclarer la stratégie (corporate + générique par DAS). Équipe valide → moteur calcule si elle a tenu ses promesses.</w:t>
            </w:r>
          </w:p>
        </w:tc>
      </w:tr>
      <w:tr>
        <w:tc>
          <w:tcPr/>
          <w:p>
            <w:pPr>
              <w:pStyle w:val="Compact"/>
            </w:pPr>
            <w:r>
              <w:rPr>
                <w:b/>
                <w:bCs/>
              </w:rPr>
              <w:t xml:space="preserve">Allocation CAPEX/OPEX</w:t>
            </w:r>
          </w:p>
        </w:tc>
        <w:tc>
          <w:tcPr/>
          <w:p>
            <w:pPr>
              <w:pStyle w:val="Compact"/>
            </w:pPr>
            <w:r>
              <w:t xml:space="preserve">Chaque tour</w:t>
            </w:r>
          </w:p>
        </w:tc>
        <w:tc>
          <w:tcPr/>
          <w:p>
            <w:pPr>
              <w:pStyle w:val="Compact"/>
            </w:pPr>
            <w:r>
              <w:t xml:space="preserve">Budgéter sous contrainte. Chaque euro investi baisse la trésorerie ET modifie la compétitivité. Débat central : court terme vs long terme.</w:t>
            </w:r>
          </w:p>
        </w:tc>
      </w:tr>
      <w:tr>
        <w:tc>
          <w:tcPr/>
          <w:p>
            <w:pPr>
              <w:pStyle w:val="Compact"/>
            </w:pPr>
            <w:r>
              <w:rPr>
                <w:b/>
                <w:bCs/>
              </w:rPr>
              <w:t xml:space="preserve">Décision amont/aval</w:t>
            </w:r>
          </w:p>
        </w:tc>
        <w:tc>
          <w:tcPr/>
          <w:p>
            <w:pPr>
              <w:pStyle w:val="Compact"/>
            </w:pPr>
            <w:r>
              <w:t xml:space="preserve">Chaque tour</w:t>
            </w:r>
          </w:p>
        </w:tc>
        <w:tc>
          <w:tcPr/>
          <w:p>
            <w:pPr>
              <w:pStyle w:val="Compact"/>
            </w:pPr>
            <w:r>
              <w:t xml:space="preserve">Sélectionner fournisseurs et distributeurs. Négocier volumes et délais. Intégration verticale vs flexibilité.</w:t>
            </w:r>
          </w:p>
        </w:tc>
      </w:tr>
      <w:tr>
        <w:tc>
          <w:tcPr/>
          <w:p>
            <w:pPr>
              <w:pStyle w:val="Compact"/>
            </w:pPr>
            <w:r>
              <w:rPr>
                <w:b/>
                <w:bCs/>
              </w:rPr>
              <w:t xml:space="preserve">Achat d’information</w:t>
            </w:r>
          </w:p>
        </w:tc>
        <w:tc>
          <w:tcPr/>
          <w:p>
            <w:pPr>
              <w:pStyle w:val="Compact"/>
            </w:pPr>
            <w:r>
              <w:t xml:space="preserve">Optionnel</w:t>
            </w:r>
          </w:p>
        </w:tc>
        <w:tc>
          <w:tcPr/>
          <w:p>
            <w:pPr>
              <w:pStyle w:val="Compact"/>
            </w:pPr>
            <w:r>
              <w:t xml:space="preserve">Cabinet propose 7 types d’études à 3 paliers. Payer moins = moins précis. Équipe arbitre : liquidité vs clarté de vision.</w:t>
            </w:r>
          </w:p>
        </w:tc>
      </w:tr>
      <w:tr>
        <w:tc>
          <w:tcPr/>
          <w:p>
            <w:pPr>
              <w:pStyle w:val="Compact"/>
            </w:pPr>
            <w:r>
              <w:rPr>
                <w:b/>
                <w:bCs/>
              </w:rPr>
              <w:t xml:space="preserve">Cession d’actifs</w:t>
            </w:r>
          </w:p>
        </w:tc>
        <w:tc>
          <w:tcPr/>
          <w:p>
            <w:pPr>
              <w:pStyle w:val="Compact"/>
            </w:pPr>
            <w:r>
              <w:t xml:space="preserve">Optionnel</w:t>
            </w:r>
          </w:p>
        </w:tc>
        <w:tc>
          <w:tcPr/>
          <w:p>
            <w:pPr>
              <w:pStyle w:val="Compact"/>
            </w:pPr>
            <w:r>
              <w:t xml:space="preserve">Équipe en détresse pivot : vend un DAS au NPC ou enchère inter-équipes. Marché de cession scellé. Apprentissage M&amp;A sans déploiement complet.</w:t>
            </w:r>
          </w:p>
        </w:tc>
      </w:tr>
    </w:tbl>
    <w:bookmarkStart w:id="21" w:name="X15460e942fdff1af7b431bd6f3efb4adb17803b"/>
    <w:p>
      <w:pPr>
        <w:pStyle w:val="Heading2"/>
      </w:pPr>
      <w:r>
        <w:t xml:space="preserve">Points de tension pédagogiques intentionnels</w:t>
      </w:r>
    </w:p>
    <w:p>
      <w:pPr>
        <w:pStyle w:val="Compact"/>
        <w:numPr>
          <w:ilvl w:val="0"/>
          <w:numId w:val="1006"/>
        </w:numPr>
      </w:pPr>
      <w:r>
        <w:rPr>
          <w:b/>
          <w:bCs/>
        </w:rPr>
        <w:t xml:space="preserve">Budget vs effet</w:t>
      </w:r>
      <w:r>
        <w:t xml:space="preserve"> </w:t>
      </w:r>
      <w:r>
        <w:t xml:space="preserve">: augmenter le budget marketing booste la notoriété</w:t>
      </w:r>
      <w:r>
        <w:t xml:space="preserve"> </w:t>
      </w:r>
      <w:r>
        <w:rPr>
          <w:i/>
          <w:iCs/>
        </w:rPr>
        <w:t xml:space="preserve">et</w:t>
      </w:r>
      <w:r>
        <w:t xml:space="preserve"> </w:t>
      </w:r>
      <w:r>
        <w:t xml:space="preserve">baisse la trésorerie</w:t>
      </w:r>
      <w:r>
        <w:t xml:space="preserve"> </w:t>
      </w:r>
      <w:r>
        <w:rPr>
          <w:i/>
          <w:iCs/>
        </w:rPr>
        <w:t xml:space="preserve">et</w:t>
      </w:r>
      <w:r>
        <w:t xml:space="preserve"> </w:t>
      </w:r>
      <w:r>
        <w:t xml:space="preserve">relève le seuil de rentabilité. Triple effet, zéro gratuité.</w:t>
      </w:r>
    </w:p>
    <w:p>
      <w:pPr>
        <w:pStyle w:val="Compact"/>
        <w:numPr>
          <w:ilvl w:val="0"/>
          <w:numId w:val="1006"/>
        </w:numPr>
      </w:pPr>
      <w:r>
        <w:rPr>
          <w:b/>
          <w:bCs/>
        </w:rPr>
        <w:t xml:space="preserve">Déclaration vs exécution</w:t>
      </w:r>
      <w:r>
        <w:t xml:space="preserve"> </w:t>
      </w:r>
      <w:r>
        <w:t xml:space="preserve">: une équipe peut annoncer « différenciation » et investir comme une low-cost. L’indice d’alignement le détecte et punit l’incohérence — pas la stratégie elle-même.</w:t>
      </w:r>
    </w:p>
    <w:p>
      <w:pPr>
        <w:pStyle w:val="Compact"/>
        <w:numPr>
          <w:ilvl w:val="0"/>
          <w:numId w:val="1006"/>
        </w:numPr>
      </w:pPr>
      <w:r>
        <w:rPr>
          <w:b/>
          <w:bCs/>
        </w:rPr>
        <w:t xml:space="preserve">Volume vs marge</w:t>
      </w:r>
      <w:r>
        <w:t xml:space="preserve"> </w:t>
      </w:r>
      <w:r>
        <w:t xml:space="preserve">: la courbe d’expérience donne des coûts bas au volume, mais concerter agressif détruit la marge. À arbitrer tour après tour.</w:t>
      </w:r>
    </w:p>
    <w:p>
      <w:pPr>
        <w:pStyle w:val="Compact"/>
        <w:numPr>
          <w:ilvl w:val="0"/>
          <w:numId w:val="1006"/>
        </w:numPr>
      </w:pPr>
      <w:r>
        <w:rPr>
          <w:b/>
          <w:bCs/>
        </w:rPr>
        <w:t xml:space="preserve">Liquidité vs viabilité</w:t>
      </w:r>
      <w:r>
        <w:t xml:space="preserve"> </w:t>
      </w:r>
      <w:r>
        <w:t xml:space="preserve">: la trésorerie mesure le temps avant insolvabilité ; l’indice d’alignement mesure si on va quelque part. Une équipe peut avoir bonne mine un tour et s’écrouler ensuite.</w:t>
      </w:r>
    </w:p>
    <w:p>
      <w:r>
        <w:pict>
          <v:rect style="width:0;height:1.5pt" o:hralign="center" o:hrstd="t" o:hr="t"/>
        </w:pict>
      </w:r>
    </w:p>
    <w:bookmarkEnd w:id="21"/>
    <w:bookmarkEnd w:id="22"/>
    <w:bookmarkStart w:id="23" w:name="avantages-compétitifs-datlas"/>
    <w:p>
      <w:pPr>
        <w:pStyle w:val="Heading1"/>
      </w:pPr>
      <w:r>
        <w:t xml:space="preserve">4. AVANTAGES COMPÉTITIFS D’ATLAS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Avantage</w:t>
            </w:r>
          </w:p>
        </w:tc>
        <w:tc>
          <w:tcPr/>
          <w:p>
            <w:pPr>
              <w:pStyle w:val="Compact"/>
            </w:pPr>
            <w:r>
              <w:t xml:space="preserve">Impact pédagogique</w:t>
            </w:r>
          </w:p>
        </w:tc>
      </w:tr>
      <w:tr>
        <w:tc>
          <w:tcPr/>
          <w:p>
            <w:pPr>
              <w:pStyle w:val="Compact"/>
            </w:pPr>
            <w:r>
              <w:rPr>
                <w:b/>
                <w:bCs/>
              </w:rPr>
              <w:t xml:space="preserve">Indice d’Alignement</w:t>
            </w:r>
          </w:p>
        </w:tc>
        <w:tc>
          <w:tcPr/>
          <w:p>
            <w:pPr>
              <w:pStyle w:val="Compact"/>
            </w:pPr>
            <w:r>
              <w:t xml:space="preserve">Récompense la cohérence entre la stratégie déclarée et les décisions réelles. Détecte le milieu de gué (Porter). C’est le levier qui force le débat : « ce qu’on dit vs ce qu’on fait ».</w:t>
            </w:r>
          </w:p>
        </w:tc>
      </w:tr>
      <w:tr>
        <w:tc>
          <w:tcPr/>
          <w:p>
            <w:pPr>
              <w:pStyle w:val="Compact"/>
            </w:pPr>
            <w:r>
              <w:rPr>
                <w:b/>
                <w:bCs/>
              </w:rPr>
              <w:t xml:space="preserve">Moteur déterministe</w:t>
            </w:r>
          </w:p>
        </w:tc>
        <w:tc>
          <w:tcPr/>
          <w:p>
            <w:pPr>
              <w:pStyle w:val="Compact"/>
            </w:pPr>
            <w:r>
              <w:t xml:space="preserve">Tous les aléas sont rejoués sur une graine (session, tour, contexte). Un résultat litigieux se réexécute en 90 secondes. Transparence totale. Zéro « le moteur a bugué ».</w:t>
            </w:r>
          </w:p>
        </w:tc>
      </w:tr>
      <w:tr>
        <w:tc>
          <w:tcPr/>
          <w:p>
            <w:pPr>
              <w:pStyle w:val="Compact"/>
            </w:pPr>
            <w:r>
              <w:rPr>
                <w:b/>
                <w:bCs/>
              </w:rPr>
              <w:t xml:space="preserve">Asymétrie d’information</w:t>
            </w:r>
          </w:p>
        </w:tc>
        <w:tc>
          <w:tcPr/>
          <w:p>
            <w:pPr>
              <w:pStyle w:val="Compact"/>
            </w:pPr>
            <w:r>
              <w:t xml:space="preserve">Le cabinet vend 7 études à 3 paliers chacune. Payer moins donne des chiffres moins exacts, jamais moins de sujets. Force l’arbitrage : rester aveugle ou dépenser ?</w:t>
            </w:r>
          </w:p>
        </w:tc>
      </w:tr>
      <w:tr>
        <w:tc>
          <w:tcPr/>
          <w:p>
            <w:pPr>
              <w:pStyle w:val="Compact"/>
            </w:pPr>
            <w:r>
              <w:rPr>
                <w:b/>
                <w:bCs/>
              </w:rPr>
              <w:t xml:space="preserve">Révélation animée</w:t>
            </w:r>
          </w:p>
        </w:tc>
        <w:tc>
          <w:tcPr/>
          <w:p>
            <w:pPr>
              <w:pStyle w:val="Compact"/>
            </w:pPr>
            <w:r>
              <w:t xml:space="preserve">Barre empilée en temps réel, toutes les équipes reçoivent le résultat simultanément. Aucune équipe ne voit les chiffres avant les autres. Tension maximum.</w:t>
            </w:r>
          </w:p>
        </w:tc>
      </w:tr>
      <w:tr>
        <w:tc>
          <w:tcPr/>
          <w:p>
            <w:pPr>
              <w:pStyle w:val="Compact"/>
            </w:pPr>
            <w:r>
              <w:rPr>
                <w:b/>
                <w:bCs/>
              </w:rPr>
              <w:t xml:space="preserve">Export multi-onglets</w:t>
            </w:r>
          </w:p>
        </w:tc>
        <w:tc>
          <w:tcPr/>
          <w:p>
            <w:pPr>
              <w:pStyle w:val="Compact"/>
            </w:pPr>
            <w:r>
              <w:t xml:space="preserve">Chaque tour : Excel des décisions, P&amp;L, KPI, alignement, benchmark anonymisé. Données structurées pour le débriefing. Archif versionnée.</w:t>
            </w:r>
          </w:p>
        </w:tc>
      </w:tr>
      <w:tr>
        <w:tc>
          <w:tcPr/>
          <w:p>
            <w:pPr>
              <w:pStyle w:val="Compact"/>
            </w:pPr>
            <w:r>
              <w:rPr>
                <w:b/>
                <w:bCs/>
              </w:rPr>
              <w:t xml:space="preserve">Contexte marocain</w:t>
            </w:r>
          </w:p>
        </w:tc>
        <w:tc>
          <w:tcPr/>
          <w:p>
            <w:pPr>
              <w:pStyle w:val="Compact"/>
            </w:pPr>
            <w:r>
              <w:t xml:space="preserve">8 DAS ancrés dans l’écosystème réel. Acteurs typés par région, avec volatilité réaliste. Données calibrées HCP, Bank Al-Maghrib, Office des Changes. Référentiel pérenne.</w:t>
            </w:r>
          </w:p>
        </w:tc>
      </w:tr>
      <w:tr>
        <w:tc>
          <w:tcPr/>
          <w:p>
            <w:pPr>
              <w:pStyle w:val="Compact"/>
            </w:pPr>
            <w:r>
              <w:rPr>
                <w:b/>
                <w:bCs/>
              </w:rPr>
              <w:t xml:space="preserve">Résilience réseau</w:t>
            </w:r>
          </w:p>
        </w:tc>
        <w:tc>
          <w:tcPr/>
          <w:p>
            <w:pPr>
              <w:pStyle w:val="Compact"/>
            </w:pPr>
            <w:r>
              <w:t xml:space="preserve">Auto-sauvegarde locale. File d’attente IndexedDB. Coupure réseau = message « hors ligne, vos données sont conservées ». Zéro perte.</w:t>
            </w:r>
          </w:p>
        </w:tc>
      </w:tr>
    </w:tbl>
    <w:p>
      <w:r>
        <w:pict>
          <v:rect style="width:0;height:1.5pt" o:hralign="center" o:hrstd="t" o:hr="t"/>
        </w:pict>
      </w:r>
    </w:p>
    <w:bookmarkEnd w:id="23"/>
    <w:bookmarkStart w:id="29" w:name="concepts-stratégiques-en-pratique"/>
    <w:p>
      <w:pPr>
        <w:pStyle w:val="Heading1"/>
      </w:pPr>
      <w:r>
        <w:t xml:space="preserve">5. CONCEPTS STRATÉGIQUES EN PRATIQUE</w:t>
      </w:r>
    </w:p>
    <w:bookmarkStart w:id="24" w:name="porter-la-compétitivité"/>
    <w:p>
      <w:pPr>
        <w:pStyle w:val="Heading2"/>
      </w:pPr>
      <w:r>
        <w:t xml:space="preserve">Porter &amp; la compétitivité</w:t>
      </w:r>
    </w:p>
    <w:p>
      <w:pPr>
        <w:pStyle w:val="FirstParagraph"/>
      </w:pPr>
      <w:r>
        <w:t xml:space="preserve">Les quatre stratégies génériques de Porter sont le cœur du jeu. Une équipe qui déclare « domination par les coûts » mais fixe un prix à 80/100 et investit en R&amp;D verra son IA s’effondrer. Le diagnostic « milieu de gué » apparaît. Le débriefing formateur : « vous avez raison d’être rentables court terme, mais vous construisez rien pour demain. »</w:t>
      </w:r>
    </w:p>
    <w:bookmarkEnd w:id="24"/>
    <w:bookmarkStart w:id="25" w:name="courbe-dexpérience"/>
    <w:p>
      <w:pPr>
        <w:pStyle w:val="Heading2"/>
      </w:pPr>
      <w:r>
        <w:t xml:space="preserve">Courbe d’expérience</w:t>
      </w:r>
    </w:p>
    <w:p>
      <w:pPr>
        <w:pStyle w:val="FirstParagraph"/>
      </w:pPr>
      <w:r>
        <w:t xml:space="preserve">Le coût unitaire baisse avec le volume cumulé. C’est ce qui rend la domination par les coûts jouable : il faut du volume → donc de la part de marché → donc de l’agressivité prix. Boucle vertueuse ou cercle vicieux. Une équipe qui comprend ce feedback gagne des parts ; une équipe qui ignore le mécanisme perd sur la compétitivité prix.</w:t>
      </w:r>
    </w:p>
    <w:bookmarkEnd w:id="25"/>
    <w:bookmarkStart w:id="26" w:name="pouvoir-de-négociation-5-forces"/>
    <w:p>
      <w:pPr>
        <w:pStyle w:val="Heading2"/>
      </w:pPr>
      <w:r>
        <w:t xml:space="preserve">Pouvoir de négociation (5-Forces)</w:t>
      </w:r>
    </w:p>
    <w:p>
      <w:pPr>
        <w:pStyle w:val="FirstParagraph"/>
      </w:pPr>
      <w:r>
        <w:t xml:space="preserve">Amont et aval. Calculé à partir de : part de volume, nombre d’alternatives, coût de changement. Une équipe qui concentre ses achats chez un seul fournisseur faible perd l’avantage de coûts. Une équipe qui se diversifie payée en marge laissée au distributeur. Porter avec des dents.</w:t>
      </w:r>
    </w:p>
    <w:bookmarkEnd w:id="26"/>
    <w:bookmarkStart w:id="27" w:name="diversification-synergies"/>
    <w:p>
      <w:pPr>
        <w:pStyle w:val="Heading2"/>
      </w:pPr>
      <w:r>
        <w:t xml:space="preserve">Diversification &amp; synergies</w:t>
      </w:r>
    </w:p>
    <w:p>
      <w:pPr>
        <w:pStyle w:val="FirstParagraph"/>
      </w:pPr>
      <w:r>
        <w:t xml:space="preserve">Une équipe qui mutualise l’agro-industrie et la distribution alimentaire (proximité 0,8) gagne jusqu’à 12 % de réduction OPEX. Une équipe qui mutualise le tourisme et le matériel industriel (proximité 0,15) perd en bureaucratie. Ansoff + Chandler chiffré.</w:t>
      </w:r>
    </w:p>
    <w:bookmarkEnd w:id="27"/>
    <w:bookmarkStart w:id="28" w:name="tableaux-de-bord-prospectifs"/>
    <w:p>
      <w:pPr>
        <w:pStyle w:val="Heading2"/>
      </w:pPr>
      <w:r>
        <w:t xml:space="preserve">Tableaux de bord prospectifs</w:t>
      </w:r>
    </w:p>
    <w:p>
      <w:pPr>
        <w:pStyle w:val="FirstParagraph"/>
      </w:pPr>
      <w:r>
        <w:t xml:space="preserve">À la clôture, Atlas calcule un Balanced Scorecard sur quatre axes à égalité : Financier, Client, Processus, Apprentissage. L’équipe au meilleur score financier (trésorerie maxi) finit souvent 3ᵉ au classement global. Point de débriefing majeur : l’optimisation financière court terme n’est pas une stratégie.</w:t>
      </w:r>
    </w:p>
    <w:p>
      <w:r>
        <w:pict>
          <v:rect style="width:0;height:1.5pt" o:hralign="center" o:hrstd="t" o:hr="t"/>
        </w:pict>
      </w:r>
    </w:p>
    <w:bookmarkEnd w:id="28"/>
    <w:bookmarkEnd w:id="29"/>
    <w:bookmarkStart w:id="34" w:name="cas-dusage---latelier-en-direct"/>
    <w:p>
      <w:pPr>
        <w:pStyle w:val="Heading1"/>
      </w:pPr>
      <w:r>
        <w:t xml:space="preserve">6. CAS D’USAGE - L’ATELIER EN DIRECT</w:t>
      </w:r>
    </w:p>
    <w:bookmarkStart w:id="33" w:name="X0d8190600f211a36db3a5df8aecbda885ed430a"/>
    <w:p>
      <w:pPr>
        <w:pStyle w:val="Heading2"/>
      </w:pPr>
      <w:r>
        <w:t xml:space="preserve">Session de validation : 3 équipes, 3 DAS, 3 tours + débriefing</w:t>
      </w:r>
    </w:p>
    <w:bookmarkStart w:id="30" w:name="tour-3-le-débriefing-sécrit-tout-seul"/>
    <w:p>
      <w:pPr>
        <w:pStyle w:val="Heading3"/>
      </w:pPr>
      <w:r>
        <w:t xml:space="preserve">Tour 3 — Le débriefing s’écrit tout seul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Équipe</w:t>
            </w:r>
          </w:p>
        </w:tc>
        <w:tc>
          <w:tcPr/>
          <w:p>
            <w:pPr>
              <w:pStyle w:val="Compact"/>
            </w:pPr>
            <w:r>
              <w:t xml:space="preserve">Financier</w:t>
            </w:r>
          </w:p>
        </w:tc>
        <w:tc>
          <w:tcPr/>
          <w:p>
            <w:pPr>
              <w:pStyle w:val="Compact"/>
            </w:pPr>
            <w:r>
              <w:t xml:space="preserve">Client</w:t>
            </w:r>
          </w:p>
        </w:tc>
        <w:tc>
          <w:tcPr/>
          <w:p>
            <w:pPr>
              <w:pStyle w:val="Compact"/>
            </w:pPr>
            <w:r>
              <w:t xml:space="preserve">Processus</w:t>
            </w:r>
          </w:p>
        </w:tc>
        <w:tc>
          <w:tcPr/>
          <w:p>
            <w:pPr>
              <w:pStyle w:val="Compact"/>
            </w:pPr>
            <w:r>
              <w:t xml:space="preserve">Global</w:t>
            </w:r>
          </w:p>
        </w:tc>
      </w:tr>
      <w:tr>
        <w:tc>
          <w:tcPr/>
          <w:p>
            <w:pPr>
              <w:pStyle w:val="Compact"/>
            </w:pPr>
            <w:r>
              <w:rPr>
                <w:b/>
                <w:bCs/>
              </w:rPr>
              <w:t xml:space="preserve">Tazi Industries</w:t>
            </w:r>
          </w:p>
        </w:tc>
        <w:tc>
          <w:tcPr/>
          <w:p>
            <w:pPr>
              <w:pStyle w:val="Compact"/>
            </w:pPr>
            <w:r>
              <w:t xml:space="preserve">54,7</w:t>
            </w:r>
          </w:p>
        </w:tc>
        <w:tc>
          <w:tcPr/>
          <w:p>
            <w:pPr>
              <w:pStyle w:val="Compact"/>
            </w:pPr>
            <w:r>
              <w:rPr>
                <w:b/>
                <w:bCs/>
              </w:rPr>
              <w:t xml:space="preserve">90,7</w:t>
            </w:r>
          </w:p>
        </w:tc>
        <w:tc>
          <w:tcPr/>
          <w:p>
            <w:pPr>
              <w:pStyle w:val="Compact"/>
            </w:pPr>
            <w:r>
              <w:rPr>
                <w:b/>
                <w:bCs/>
              </w:rPr>
              <w:t xml:space="preserve">99,4</w:t>
            </w:r>
          </w:p>
        </w:tc>
        <w:tc>
          <w:tcPr/>
          <w:p>
            <w:pPr>
              <w:pStyle w:val="Compact"/>
            </w:pPr>
            <w:r>
              <w:rPr>
                <w:b/>
                <w:bCs/>
              </w:rPr>
              <w:t xml:space="preserve">79,5</w:t>
            </w:r>
          </w:p>
        </w:tc>
      </w:tr>
      <w:tr>
        <w:tc>
          <w:tcPr/>
          <w:p>
            <w:pPr>
              <w:pStyle w:val="Compact"/>
            </w:pPr>
            <w:r>
              <w:t xml:space="preserve">Ziyad Holding</w:t>
            </w:r>
          </w:p>
        </w:tc>
        <w:tc>
          <w:tcPr/>
          <w:p>
            <w:pPr>
              <w:pStyle w:val="Compact"/>
            </w:pPr>
            <w:r>
              <w:t xml:space="preserve">28,1</w:t>
            </w:r>
          </w:p>
        </w:tc>
        <w:tc>
          <w:tcPr/>
          <w:p>
            <w:pPr>
              <w:pStyle w:val="Compact"/>
            </w:pPr>
            <w:r>
              <w:t xml:space="preserve">53,7</w:t>
            </w:r>
          </w:p>
        </w:tc>
        <w:tc>
          <w:tcPr/>
          <w:p>
            <w:pPr>
              <w:pStyle w:val="Compact"/>
            </w:pPr>
            <w:r>
              <w:t xml:space="preserve">73,3</w:t>
            </w:r>
          </w:p>
        </w:tc>
        <w:tc>
          <w:tcPr/>
          <w:p>
            <w:pPr>
              <w:pStyle w:val="Compact"/>
            </w:pPr>
            <w:r>
              <w:t xml:space="preserve">52,4</w:t>
            </w:r>
          </w:p>
        </w:tc>
      </w:tr>
      <w:tr>
        <w:tc>
          <w:tcPr/>
          <w:p>
            <w:pPr>
              <w:pStyle w:val="Compact"/>
            </w:pPr>
            <w:r>
              <w:rPr>
                <w:b/>
                <w:bCs/>
              </w:rPr>
              <w:t xml:space="preserve">Bennani Group</w:t>
            </w:r>
          </w:p>
        </w:tc>
        <w:tc>
          <w:tcPr/>
          <w:p>
            <w:pPr>
              <w:pStyle w:val="Compact"/>
            </w:pPr>
            <w:r>
              <w:rPr>
                <w:b/>
                <w:bCs/>
              </w:rPr>
              <w:t xml:space="preserve">86,7</w:t>
            </w:r>
          </w:p>
        </w:tc>
        <w:tc>
          <w:tcPr/>
          <w:p>
            <w:pPr>
              <w:pStyle w:val="Compact"/>
            </w:pPr>
            <w:r>
              <w:t xml:space="preserve">20,0</w:t>
            </w:r>
          </w:p>
        </w:tc>
        <w:tc>
          <w:tcPr/>
          <w:p>
            <w:pPr>
              <w:pStyle w:val="Compact"/>
            </w:pPr>
            <w:r>
              <w:t xml:space="preserve">40,5</w:t>
            </w:r>
          </w:p>
        </w:tc>
        <w:tc>
          <w:tcPr/>
          <w:p>
            <w:pPr>
              <w:pStyle w:val="Compact"/>
            </w:pPr>
            <w:r>
              <w:t xml:space="preserve">48,5</w:t>
            </w:r>
          </w:p>
        </w:tc>
      </w:tr>
    </w:tbl>
    <w:bookmarkEnd w:id="30"/>
    <w:bookmarkStart w:id="31" w:name="ce-que-le-tableau-montre"/>
    <w:p>
      <w:pPr>
        <w:pStyle w:val="Heading3"/>
      </w:pPr>
      <w:r>
        <w:t xml:space="preserve">Ce que le tableau montre :</w:t>
      </w:r>
    </w:p>
    <w:p>
      <w:pPr>
        <w:pStyle w:val="Compact"/>
        <w:numPr>
          <w:ilvl w:val="0"/>
          <w:numId w:val="1007"/>
        </w:numPr>
      </w:pPr>
      <w:r>
        <w:rPr>
          <w:b/>
          <w:bCs/>
        </w:rPr>
        <w:t xml:space="preserve">Bennani</w:t>
      </w:r>
      <w:r>
        <w:t xml:space="preserve"> </w:t>
      </w:r>
      <w:r>
        <w:t xml:space="preserve">(16 Md DH de trésorerie, meilleur score financier) finit dernière au Balanced Scorecard. Aucun client (20/100), aucun alignement (IA 23,9), rien de construit.</w:t>
      </w:r>
    </w:p>
    <w:p>
      <w:pPr>
        <w:pStyle w:val="Compact"/>
        <w:numPr>
          <w:ilvl w:val="0"/>
          <w:numId w:val="1007"/>
        </w:numPr>
      </w:pPr>
      <w:r>
        <w:t xml:space="preserve">C’est exactement ce qu’un tableau de bord prospectif doit corriger : l’axe financier seul l’aurait sacrée. Les quatre axes ensemble disent la vérité.</w:t>
      </w:r>
    </w:p>
    <w:p>
      <w:pPr>
        <w:pStyle w:val="Compact"/>
        <w:numPr>
          <w:ilvl w:val="0"/>
          <w:numId w:val="1007"/>
        </w:numPr>
      </w:pPr>
      <w:r>
        <w:t xml:space="preserve">Le débriefing se raconte tout seul : « vous avez optimisé pour les chiffres d’un tour au lieu de construire une position durable ».</w:t>
      </w:r>
    </w:p>
    <w:bookmarkEnd w:id="31"/>
    <w:bookmarkStart w:id="32" w:name="lindice-dalignement-en-action"/>
    <w:p>
      <w:pPr>
        <w:pStyle w:val="Heading3"/>
      </w:pPr>
      <w:r>
        <w:t xml:space="preserve">L’indice d’alignement en action</w:t>
      </w:r>
    </w:p>
    <w:p>
      <w:pPr>
        <w:pStyle w:val="FirstParagraph"/>
      </w:pPr>
      <w:r>
        <w:rPr>
          <w:b/>
          <w:bCs/>
        </w:rPr>
        <w:t xml:space="preserve">Ziyad Holding (IA 67,6)</w:t>
      </w:r>
      <w:r>
        <w:t xml:space="preserve"> </w:t>
      </w:r>
      <w:r>
        <w:t xml:space="preserve">: « Vous avez déclaré la domination par les coûts. Vos chiffres : prix 25, coût 37,2, PdM 38,6 %. Cohérent. »</w:t>
      </w:r>
    </w:p>
    <w:p>
      <w:pPr>
        <w:pStyle w:val="BodyText"/>
      </w:pPr>
      <w:r>
        <w:rPr>
          <w:b/>
          <w:bCs/>
        </w:rPr>
        <w:t xml:space="preserve">Tazi Industries (IA 66,7)</w:t>
      </w:r>
      <w:r>
        <w:t xml:space="preserve"> </w:t>
      </w:r>
      <w:r>
        <w:t xml:space="preserve">: « Vous avez déclaré la différenciation. Prix 78, R&amp;D 8 %, notoriété 74. Zéro rupture. Cohérent. »</w:t>
      </w:r>
    </w:p>
    <w:p>
      <w:pPr>
        <w:pStyle w:val="BodyText"/>
      </w:pPr>
      <w:r>
        <w:rPr>
          <w:b/>
          <w:bCs/>
        </w:rPr>
        <w:t xml:space="preserve">Bennani (IA 23,9)</w:t>
      </w:r>
      <w:r>
        <w:t xml:space="preserve"> </w:t>
      </w:r>
      <w:r>
        <w:t xml:space="preserve">: « Vous avez déclaré la différenciation mais exécutez la domination par les coûts. Diagnostic : milieu de gué. »</w:t>
      </w:r>
    </w:p>
    <w:p>
      <w:pPr>
        <w:pStyle w:val="BodyText"/>
      </w:pPr>
      <w:r>
        <w:t xml:space="preserve">→</w:t>
      </w:r>
      <w:r>
        <w:t xml:space="preserve"> </w:t>
      </w:r>
      <w:r>
        <w:rPr>
          <w:i/>
          <w:iCs/>
        </w:rPr>
        <w:t xml:space="preserve">Le débriefing formateur : « Bennani vous montre la pire des positions stratégiques. Porter l’a montrée il y a 40 ans : ni assez bon marché ni assez distinctif. Perte de parts garantie. »</w:t>
      </w:r>
    </w:p>
    <w:p>
      <w:r>
        <w:pict>
          <v:rect style="width:0;height:1.5pt" o:hralign="center" o:hrstd="t" o:hr="t"/>
        </w:pict>
      </w:r>
    </w:p>
    <w:bookmarkEnd w:id="32"/>
    <w:bookmarkEnd w:id="33"/>
    <w:bookmarkEnd w:id="34"/>
    <w:bookmarkStart w:id="36" w:name="modèle-dintégration-universitaire"/>
    <w:p>
      <w:pPr>
        <w:pStyle w:val="Heading1"/>
      </w:pPr>
      <w:r>
        <w:t xml:space="preserve">7. MODÈLE D’INTÉGRATION UNIVERSITAIRE</w:t>
      </w:r>
    </w:p>
    <w:p>
      <w:pPr>
        <w:pStyle w:val="FirstParagraph"/>
      </w:pPr>
      <w:r>
        <w:t xml:space="preserve">Atlas s’intègre dans trois contextes pédagogiques distincts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Contexte</w:t>
            </w:r>
          </w:p>
        </w:tc>
        <w:tc>
          <w:tcPr/>
          <w:p>
            <w:pPr>
              <w:pStyle w:val="Compact"/>
            </w:pPr>
            <w:r>
              <w:t xml:space="preserve">Volume</w:t>
            </w:r>
          </w:p>
        </w:tc>
        <w:tc>
          <w:tcPr/>
          <w:p>
            <w:pPr>
              <w:pStyle w:val="Compact"/>
            </w:pPr>
            <w:r>
              <w:t xml:space="preserve">Intégration</w:t>
            </w:r>
          </w:p>
        </w:tc>
      </w:tr>
      <w:tr>
        <w:tc>
          <w:tcPr/>
          <w:p>
            <w:pPr>
              <w:pStyle w:val="Compact"/>
            </w:pPr>
            <w:r>
              <w:rPr>
                <w:b/>
                <w:bCs/>
              </w:rPr>
              <w:t xml:space="preserve">MBA / Master Strategy</w:t>
            </w:r>
          </w:p>
        </w:tc>
        <w:tc>
          <w:tcPr/>
          <w:p>
            <w:pPr>
              <w:pStyle w:val="Compact"/>
            </w:pPr>
            <w:r>
              <w:t xml:space="preserve">30–60 étudiants (3–6 équipes)</w:t>
            </w:r>
          </w:p>
        </w:tc>
        <w:tc>
          <w:tcPr/>
          <w:p>
            <w:pPr>
              <w:pStyle w:val="Compact"/>
            </w:pPr>
            <w:r>
              <w:t xml:space="preserve">Bloc électif 2–3 jours ou module 6 semaines + atelier final. Prérequis : stratégie, finance, économie industrielle.</w:t>
            </w:r>
          </w:p>
        </w:tc>
      </w:tr>
      <w:tr>
        <w:tc>
          <w:tcPr/>
          <w:p>
            <w:pPr>
              <w:pStyle w:val="Compact"/>
            </w:pPr>
            <w:r>
              <w:rPr>
                <w:b/>
                <w:bCs/>
              </w:rPr>
              <w:t xml:space="preserve">Compétition inter-universités</w:t>
            </w:r>
          </w:p>
        </w:tc>
        <w:tc>
          <w:tcPr/>
          <w:p>
            <w:pPr>
              <w:pStyle w:val="Compact"/>
            </w:pPr>
            <w:r>
              <w:t xml:space="preserve">100–200 étudiants (10–20 équipes)</w:t>
            </w:r>
          </w:p>
        </w:tc>
        <w:tc>
          <w:tcPr/>
          <w:p>
            <w:pPr>
              <w:pStyle w:val="Compact"/>
            </w:pPr>
            <w:r>
              <w:t xml:space="preserve">Deux demi-journées. Qualifications régionales puis finale nationale. Système de points à somme non nulle. Sponsoring possible.</w:t>
            </w:r>
          </w:p>
        </w:tc>
      </w:tr>
      <w:tr>
        <w:tc>
          <w:tcPr/>
          <w:p>
            <w:pPr>
              <w:pStyle w:val="Compact"/>
            </w:pPr>
            <w:r>
              <w:rPr>
                <w:b/>
                <w:bCs/>
              </w:rPr>
              <w:t xml:space="preserve">Formation cadres (in-company)</w:t>
            </w:r>
          </w:p>
        </w:tc>
        <w:tc>
          <w:tcPr/>
          <w:p>
            <w:pPr>
              <w:pStyle w:val="Compact"/>
            </w:pPr>
            <w:r>
              <w:t xml:space="preserve">15–30 cadres (2–3 équipes)</w:t>
            </w:r>
          </w:p>
        </w:tc>
        <w:tc>
          <w:tcPr/>
          <w:p>
            <w:pPr>
              <w:pStyle w:val="Compact"/>
            </w:pPr>
            <w:r>
              <w:t xml:space="preserve">Atelier 1 jour. Calibrage des DAS et des chocs PESTEL sur l’industrie client. Débriefing en interne avec coaches métier.</w:t>
            </w:r>
          </w:p>
        </w:tc>
      </w:tr>
    </w:tbl>
    <w:bookmarkStart w:id="35" w:name="support-et-suivi"/>
    <w:p>
      <w:pPr>
        <w:pStyle w:val="Heading2"/>
      </w:pPr>
      <w:r>
        <w:t xml:space="preserve">Support et suivi</w:t>
      </w:r>
    </w:p>
    <w:p>
      <w:pPr>
        <w:pStyle w:val="Compact"/>
        <w:numPr>
          <w:ilvl w:val="0"/>
          <w:numId w:val="1008"/>
        </w:numPr>
      </w:pPr>
      <w:r>
        <w:rPr>
          <w:b/>
          <w:bCs/>
        </w:rPr>
        <w:t xml:space="preserve">Guide formateur</w:t>
      </w:r>
      <w:r>
        <w:t xml:space="preserve"> </w:t>
      </w:r>
      <w:r>
        <w:t xml:space="preserve">: script de 2 pages, canevas de débriefing par tour, fiche de calibrage par DAS</w:t>
      </w:r>
    </w:p>
    <w:p>
      <w:pPr>
        <w:pStyle w:val="Compact"/>
        <w:numPr>
          <w:ilvl w:val="0"/>
          <w:numId w:val="1008"/>
        </w:numPr>
      </w:pPr>
      <w:r>
        <w:rPr>
          <w:b/>
          <w:bCs/>
        </w:rPr>
        <w:t xml:space="preserve">Aide en ligne</w:t>
      </w:r>
      <w:r>
        <w:t xml:space="preserve"> </w:t>
      </w:r>
      <w:r>
        <w:t xml:space="preserve">: FAQ facilitateur, troubleshooting technique, tableau de bord d’avancement équipe par équipe</w:t>
      </w:r>
    </w:p>
    <w:p>
      <w:pPr>
        <w:pStyle w:val="Compact"/>
        <w:numPr>
          <w:ilvl w:val="0"/>
          <w:numId w:val="1008"/>
        </w:numPr>
      </w:pPr>
      <w:r>
        <w:rPr>
          <w:b/>
          <w:bCs/>
        </w:rPr>
        <w:t xml:space="preserve">Débriefing collectif structuré</w:t>
      </w:r>
      <w:r>
        <w:t xml:space="preserve"> </w:t>
      </w:r>
      <w:r>
        <w:t xml:space="preserve">: grille de questions par axe (stratégie, finance, alignement, RH) proposée à chaque atelier</w:t>
      </w:r>
    </w:p>
    <w:p>
      <w:pPr>
        <w:pStyle w:val="Compact"/>
        <w:numPr>
          <w:ilvl w:val="0"/>
          <w:numId w:val="1008"/>
        </w:numPr>
      </w:pPr>
      <w:r>
        <w:rPr>
          <w:b/>
          <w:bCs/>
        </w:rPr>
        <w:t xml:space="preserve">Export 6 onglets</w:t>
      </w:r>
      <w:r>
        <w:t xml:space="preserve"> </w:t>
      </w:r>
      <w:r>
        <w:t xml:space="preserve">: décisions, KPI, P&amp;L, classement, alignement, débriefing formateur. Archif versionnée.</w:t>
      </w:r>
    </w:p>
    <w:p>
      <w:r>
        <w:pict>
          <v:rect style="width:0;height:1.5pt" o:hralign="center" o:hrstd="t" o:hr="t"/>
        </w:pict>
      </w:r>
    </w:p>
    <w:bookmarkEnd w:id="35"/>
    <w:bookmarkEnd w:id="36"/>
    <w:bookmarkStart w:id="40" w:name="appel-à-laction"/>
    <w:p>
      <w:pPr>
        <w:pStyle w:val="Heading1"/>
      </w:pPr>
      <w:r>
        <w:t xml:space="preserve">8. APPEL À L’ACTION</w:t>
      </w:r>
    </w:p>
    <w:bookmarkStart w:id="37" w:name="pourquoi-choisir-atlas-maintenant"/>
    <w:p>
      <w:pPr>
        <w:pStyle w:val="Heading2"/>
      </w:pPr>
      <w:r>
        <w:t xml:space="preserve">Pourquoi choisir Atlas maintenant ?</w:t>
      </w:r>
    </w:p>
    <w:p>
      <w:pPr>
        <w:pStyle w:val="Compact"/>
        <w:numPr>
          <w:ilvl w:val="0"/>
          <w:numId w:val="1009"/>
        </w:numPr>
      </w:pPr>
      <w:r>
        <w:rPr>
          <w:b/>
          <w:bCs/>
        </w:rPr>
        <w:t xml:space="preserve">Contexte marocain</w:t>
      </w:r>
      <w:r>
        <w:t xml:space="preserve"> </w:t>
      </w:r>
      <w:r>
        <w:t xml:space="preserve">: acteurs réels (BAM, ONSSA, Conseil de la Concurrence), données calibrées HCP/Office des Changes, DAS représentatifs de l’écosystème régional.</w:t>
      </w:r>
    </w:p>
    <w:p>
      <w:pPr>
        <w:pStyle w:val="Compact"/>
        <w:numPr>
          <w:ilvl w:val="0"/>
          <w:numId w:val="1009"/>
        </w:numPr>
      </w:pPr>
      <w:r>
        <w:rPr>
          <w:b/>
          <w:bCs/>
        </w:rPr>
        <w:t xml:space="preserve">Design pédagogique éprouvé</w:t>
      </w:r>
      <w:r>
        <w:t xml:space="preserve"> </w:t>
      </w:r>
      <w:r>
        <w:t xml:space="preserve">: session de validation auprès d’une cohorte d’MBA. Débriefing sans friction. Classements explicables en 90 secondes.</w:t>
      </w:r>
    </w:p>
    <w:p>
      <w:pPr>
        <w:pStyle w:val="Compact"/>
        <w:numPr>
          <w:ilvl w:val="0"/>
          <w:numId w:val="1009"/>
        </w:numPr>
      </w:pPr>
      <w:r>
        <w:rPr>
          <w:b/>
          <w:bCs/>
        </w:rPr>
        <w:t xml:space="preserve">Zéro dépendance réseau</w:t>
      </w:r>
      <w:r>
        <w:t xml:space="preserve"> </w:t>
      </w:r>
      <w:r>
        <w:t xml:space="preserve">: auto-sauvegarde locale, déploiement sur Vercel global, aucune crainte de latence lors d’un atelier physique.</w:t>
      </w:r>
    </w:p>
    <w:p>
      <w:pPr>
        <w:pStyle w:val="Compact"/>
        <w:numPr>
          <w:ilvl w:val="0"/>
          <w:numId w:val="1009"/>
        </w:numPr>
      </w:pPr>
      <w:r>
        <w:rPr>
          <w:b/>
          <w:bCs/>
        </w:rPr>
        <w:t xml:space="preserve">Extensibilité</w:t>
      </w:r>
      <w:r>
        <w:t xml:space="preserve"> </w:t>
      </w:r>
      <w:r>
        <w:t xml:space="preserve">: ajouter un tour, modifier les paramètres économiques, piloter les chocs PESTEL depuis le tableau de bord facilitateur. Aucun redéploiement.</w:t>
      </w:r>
    </w:p>
    <w:bookmarkEnd w:id="37"/>
    <w:bookmarkStart w:id="39" w:name="prochaines-étapes"/>
    <w:p>
      <w:pPr>
        <w:pStyle w:val="Heading2"/>
      </w:pPr>
      <w:r>
        <w:t xml:space="preserve">Prochaines étapes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Étape</w:t>
            </w:r>
          </w:p>
        </w:tc>
        <w:tc>
          <w:tcPr/>
          <w:p>
            <w:pPr>
              <w:pStyle w:val="Compact"/>
            </w:pPr>
            <w:r>
              <w:t xml:space="preserve">Description</w:t>
            </w:r>
          </w:p>
        </w:tc>
      </w:tr>
      <w:tr>
        <w:tc>
          <w:tcPr/>
          <w:p>
            <w:pPr>
              <w:pStyle w:val="Compact"/>
            </w:pPr>
            <w:r>
              <w:rPr>
                <w:b/>
                <w:bCs/>
              </w:rPr>
              <w:t xml:space="preserve">Étape 1</w:t>
            </w:r>
          </w:p>
        </w:tc>
        <w:tc>
          <w:tcPr/>
          <w:p>
            <w:pPr>
              <w:pStyle w:val="Compact"/>
            </w:pPr>
            <w:r>
              <w:t xml:space="preserve">Démo privée (45 min) : présentations des trois écrans (facilitateur, équipe, projecteur), walkthrough d’une résolution moteur. Pas de engagement.</w:t>
            </w:r>
          </w:p>
        </w:tc>
      </w:tr>
      <w:tr>
        <w:tc>
          <w:tcPr/>
          <w:p>
            <w:pPr>
              <w:pStyle w:val="Compact"/>
            </w:pPr>
            <w:r>
              <w:rPr>
                <w:b/>
                <w:bCs/>
              </w:rPr>
              <w:t xml:space="preserve">Étape 2</w:t>
            </w:r>
          </w:p>
        </w:tc>
        <w:tc>
          <w:tcPr/>
          <w:p>
            <w:pPr>
              <w:pStyle w:val="Compact"/>
            </w:pPr>
            <w:r>
              <w:t xml:space="preserve">Atelier pilote : 1-2 sections de votre MBA ou Master Strategy, gratuit, avec audit pédagogique inclus.</w:t>
            </w:r>
          </w:p>
        </w:tc>
      </w:tr>
      <w:tr>
        <w:tc>
          <w:tcPr/>
          <w:p>
            <w:pPr>
              <w:pStyle w:val="Compact"/>
            </w:pPr>
            <w:r>
              <w:rPr>
                <w:b/>
                <w:bCs/>
              </w:rPr>
              <w:t xml:space="preserve">Étape 3</w:t>
            </w:r>
          </w:p>
        </w:tc>
        <w:tc>
          <w:tcPr/>
          <w:p>
            <w:pPr>
              <w:pStyle w:val="Compact"/>
            </w:pPr>
            <w:r>
              <w:t xml:space="preserve">Déploiement : abonnement annuel par cohorte (calendrier académique), support prioritaire, mises à jour pédagogiques.</w:t>
            </w:r>
          </w:p>
        </w:tc>
      </w:tr>
    </w:tbl>
    <w:p>
      <w:r>
        <w:pict>
          <v:rect style="width:0;height:1.5pt" o:hralign="center" o:hrstd="t" o:hr="t"/>
        </w:pict>
      </w:r>
    </w:p>
    <w:bookmarkStart w:id="38" w:name="atlas-est-prêt.-vos-étudiants-attendent."/>
    <w:p>
      <w:pPr>
        <w:pStyle w:val="Heading3"/>
      </w:pPr>
      <w:r>
        <w:rPr>
          <w:b/>
          <w:bCs/>
        </w:rPr>
        <w:t xml:space="preserve">Atlas est prêt. Vos étudiants attendent.</w:t>
      </w:r>
    </w:p>
    <w:p>
      <w:pPr>
        <w:pStyle w:val="FirstParagraph"/>
      </w:pPr>
      <w:r>
        <w:t xml:space="preserve">Demander une démo :</w:t>
      </w:r>
      <w:r>
        <w:t xml:space="preserve"> </w:t>
      </w:r>
      <w:r>
        <w:rPr>
          <w:b/>
          <w:bCs/>
        </w:rPr>
        <w:t xml:space="preserve">zakaria.aittaleb@gmail.com</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2026-09-07T16:11:33Z</dcterms:created>
  <dcterms:modified xsi:type="dcterms:W3CDTF">2026-09-07T16:11:33Z</dcterms:modified>
</cp:coreProperties>
</file>

<file path=docProps/custom.xml><?xml version="1.0" encoding="utf-8"?>
<Properties xmlns="http://schemas.openxmlformats.org/officeDocument/2006/custom-properties" xmlns:vt="http://schemas.openxmlformats.org/officeDocument/2006/docPropsVTypes"/>
</file>