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54F9" w14:textId="77777777" w:rsidR="00051C16" w:rsidRDefault="00000000">
      <w:pPr>
        <w:spacing w:before="1000"/>
        <w:jc w:val="center"/>
      </w:pPr>
      <w:r>
        <w:rPr>
          <w:b/>
          <w:color w:val="2E75B6"/>
          <w:sz w:val="26"/>
        </w:rPr>
        <w:t>Aether Precision Systems</w:t>
      </w:r>
    </w:p>
    <w:p w14:paraId="315F805E" w14:textId="77777777" w:rsidR="00051C16" w:rsidRDefault="00000000">
      <w:pPr>
        <w:spacing w:before="180" w:after="160"/>
        <w:jc w:val="center"/>
      </w:pPr>
      <w:r>
        <w:rPr>
          <w:rFonts w:ascii="Aptos Display" w:hAnsi="Aptos Display"/>
          <w:b/>
          <w:color w:val="1F4E6E"/>
          <w:sz w:val="60"/>
        </w:rPr>
        <w:t>H1 2025 Revenue Growth</w:t>
      </w:r>
      <w:r>
        <w:rPr>
          <w:rFonts w:ascii="Aptos Display" w:hAnsi="Aptos Display"/>
          <w:b/>
          <w:color w:val="1F4E6E"/>
          <w:sz w:val="60"/>
        </w:rPr>
        <w:br/>
        <w:t>vs. Profitability Gap</w:t>
      </w:r>
    </w:p>
    <w:p w14:paraId="37CC5A8F" w14:textId="77777777" w:rsidR="00051C16" w:rsidRDefault="00000000">
      <w:pPr>
        <w:jc w:val="center"/>
      </w:pPr>
      <w:r>
        <w:rPr>
          <w:b/>
          <w:color w:val="2E75B6"/>
          <w:sz w:val="34"/>
        </w:rPr>
        <w:t>Detailed Analysis Report</w:t>
      </w:r>
    </w:p>
    <w:p w14:paraId="35BAF392" w14:textId="77777777" w:rsidR="00051C16" w:rsidRDefault="00000000">
      <w:pPr>
        <w:spacing w:before="280"/>
        <w:jc w:val="center"/>
      </w:pPr>
      <w:r>
        <w:rPr>
          <w:color w:val="667085"/>
          <w:sz w:val="19"/>
        </w:rPr>
        <w:t>Reporting period: 1 January 2025 - 30 June 2025</w:t>
      </w:r>
    </w:p>
    <w:p w14:paraId="601EF6C9" w14:textId="77777777" w:rsidR="00051C16" w:rsidRDefault="00000000">
      <w:pPr>
        <w:spacing w:before="840"/>
        <w:jc w:val="center"/>
      </w:pPr>
      <w:r>
        <w:rPr>
          <w:b/>
          <w:color w:val="667085"/>
        </w:rPr>
        <w:t>Prepared by</w:t>
      </w:r>
    </w:p>
    <w:p w14:paraId="1EEE798D" w14:textId="77777777" w:rsidR="00051C16" w:rsidRDefault="00000000">
      <w:pPr>
        <w:jc w:val="center"/>
      </w:pPr>
      <w:r>
        <w:rPr>
          <w:b/>
          <w:sz w:val="27"/>
        </w:rPr>
        <w:t>Zakariae ELMAHFOUDI</w:t>
      </w:r>
    </w:p>
    <w:p w14:paraId="3DB9EBB7" w14:textId="77777777" w:rsidR="00051C16" w:rsidRDefault="00000000">
      <w:pPr>
        <w:spacing w:before="400"/>
        <w:jc w:val="center"/>
      </w:pPr>
      <w:r>
        <w:rPr>
          <w:color w:val="667085"/>
        </w:rPr>
        <w:t>Domain: FP&amp;A · Revenue &amp; Profitability Analytics · Corporate Finance</w:t>
      </w:r>
      <w:r>
        <w:rPr>
          <w:color w:val="667085"/>
        </w:rPr>
        <w:br/>
        <w:t>Tool: Microsoft Excel</w:t>
      </w:r>
    </w:p>
    <w:tbl>
      <w:tblPr>
        <w:tblStyle w:val="TableGrid"/>
        <w:tblW w:w="0" w:type="auto"/>
        <w:jc w:val="center"/>
        <w:tblLook w:val="04A0" w:firstRow="1" w:lastRow="0" w:firstColumn="1" w:lastColumn="0" w:noHBand="0" w:noVBand="1"/>
      </w:tblPr>
      <w:tblGrid>
        <w:gridCol w:w="10166"/>
      </w:tblGrid>
      <w:tr w:rsidR="00051C16" w14:paraId="0309DBC8" w14:textId="77777777">
        <w:trPr>
          <w:tblHeader/>
          <w:jc w:val="center"/>
        </w:trPr>
        <w:tc>
          <w:tcPr>
            <w:tcW w:w="10166" w:type="dxa"/>
            <w:shd w:val="clear" w:color="auto" w:fill="F1F6FA"/>
          </w:tcPr>
          <w:p w14:paraId="2094AEFD" w14:textId="77777777" w:rsidR="00051C16" w:rsidRDefault="00000000">
            <w:pPr>
              <w:spacing w:after="40"/>
            </w:pPr>
            <w:r>
              <w:rPr>
                <w:b/>
                <w:color w:val="2E75B6"/>
              </w:rPr>
              <w:t>Report purpose</w:t>
            </w:r>
            <w:r>
              <w:rPr>
                <w:sz w:val="17"/>
              </w:rPr>
              <w:t xml:space="preserve">  Document the end-to-end investigation, evidence, financial impact assessment, analytical judgment, and management recommendations behind the H1 2025 profitability diagnosis.</w:t>
            </w:r>
          </w:p>
        </w:tc>
      </w:tr>
    </w:tbl>
    <w:p w14:paraId="2C414027" w14:textId="77777777" w:rsidR="00051C16" w:rsidRDefault="00051C16">
      <w:pPr>
        <w:spacing w:after="20"/>
      </w:pPr>
    </w:p>
    <w:p w14:paraId="5E46F05C" w14:textId="77777777" w:rsidR="00051C16" w:rsidRDefault="00000000">
      <w:r>
        <w:br w:type="page"/>
      </w:r>
    </w:p>
    <w:p w14:paraId="627FE23F" w14:textId="77777777" w:rsidR="00051C16" w:rsidRDefault="00000000">
      <w:pPr>
        <w:pStyle w:val="Heading1"/>
      </w:pPr>
      <w:r>
        <w:lastRenderedPageBreak/>
        <w:t>Report Map</w:t>
      </w:r>
    </w:p>
    <w:p w14:paraId="5F176925" w14:textId="77777777" w:rsidR="00051C16" w:rsidRDefault="00000000">
      <w:r>
        <w:t>This report is designed as the deep-dive companion to the project README and the shorter Executive Summary. It documents not only what was found, but how the findings were developed and how each workstream was concluded.</w:t>
      </w:r>
    </w:p>
    <w:tbl>
      <w:tblPr>
        <w:tblStyle w:val="TableGrid"/>
        <w:tblW w:w="0" w:type="auto"/>
        <w:jc w:val="center"/>
        <w:tblLook w:val="04A0" w:firstRow="1" w:lastRow="0" w:firstColumn="1" w:lastColumn="0" w:noHBand="0" w:noVBand="1"/>
      </w:tblPr>
      <w:tblGrid>
        <w:gridCol w:w="2952"/>
        <w:gridCol w:w="6696"/>
      </w:tblGrid>
      <w:tr w:rsidR="00051C16" w14:paraId="7837FF31" w14:textId="77777777">
        <w:trPr>
          <w:tblHeader/>
          <w:jc w:val="center"/>
        </w:trPr>
        <w:tc>
          <w:tcPr>
            <w:tcW w:w="2952" w:type="dxa"/>
            <w:shd w:val="clear" w:color="auto" w:fill="1F4E6E"/>
            <w:vAlign w:val="center"/>
          </w:tcPr>
          <w:p w14:paraId="20299D9D" w14:textId="77777777" w:rsidR="00051C16" w:rsidRDefault="00000000">
            <w:pPr>
              <w:jc w:val="center"/>
            </w:pPr>
            <w:r>
              <w:rPr>
                <w:b/>
                <w:color w:val="FFFFFF"/>
                <w:sz w:val="16"/>
              </w:rPr>
              <w:t>Section</w:t>
            </w:r>
          </w:p>
        </w:tc>
        <w:tc>
          <w:tcPr>
            <w:tcW w:w="6696" w:type="dxa"/>
            <w:shd w:val="clear" w:color="auto" w:fill="1F4E6E"/>
            <w:vAlign w:val="center"/>
          </w:tcPr>
          <w:p w14:paraId="77905C75" w14:textId="77777777" w:rsidR="00051C16" w:rsidRDefault="00000000">
            <w:pPr>
              <w:jc w:val="center"/>
            </w:pPr>
            <w:r>
              <w:rPr>
                <w:b/>
                <w:color w:val="FFFFFF"/>
                <w:sz w:val="16"/>
              </w:rPr>
              <w:t>Content</w:t>
            </w:r>
          </w:p>
        </w:tc>
      </w:tr>
      <w:tr w:rsidR="00051C16" w14:paraId="4FA69149" w14:textId="77777777">
        <w:trPr>
          <w:jc w:val="center"/>
        </w:trPr>
        <w:tc>
          <w:tcPr>
            <w:tcW w:w="2952" w:type="dxa"/>
            <w:vAlign w:val="center"/>
          </w:tcPr>
          <w:p w14:paraId="17460366" w14:textId="77777777" w:rsidR="00051C16" w:rsidRDefault="00000000">
            <w:r>
              <w:rPr>
                <w:b/>
                <w:sz w:val="15"/>
              </w:rPr>
              <w:t>1. Executive Summary</w:t>
            </w:r>
          </w:p>
        </w:tc>
        <w:tc>
          <w:tcPr>
            <w:tcW w:w="6696" w:type="dxa"/>
            <w:vAlign w:val="center"/>
          </w:tcPr>
          <w:p w14:paraId="73FD189F" w14:textId="77777777" w:rsidR="00051C16" w:rsidRDefault="00000000">
            <w:r>
              <w:rPr>
                <w:sz w:val="15"/>
              </w:rPr>
              <w:t>Integrated diagnosis, key financial figures, and overall conclusion</w:t>
            </w:r>
          </w:p>
        </w:tc>
      </w:tr>
      <w:tr w:rsidR="00051C16" w14:paraId="3913019A" w14:textId="77777777">
        <w:trPr>
          <w:jc w:val="center"/>
        </w:trPr>
        <w:tc>
          <w:tcPr>
            <w:tcW w:w="2952" w:type="dxa"/>
            <w:shd w:val="clear" w:color="auto" w:fill="F5F7F9"/>
            <w:vAlign w:val="center"/>
          </w:tcPr>
          <w:p w14:paraId="44206B5F" w14:textId="77777777" w:rsidR="00051C16" w:rsidRDefault="00000000">
            <w:r>
              <w:rPr>
                <w:b/>
                <w:sz w:val="15"/>
              </w:rPr>
              <w:t>2. Business Context &amp; Decision Setting</w:t>
            </w:r>
          </w:p>
        </w:tc>
        <w:tc>
          <w:tcPr>
            <w:tcW w:w="6696" w:type="dxa"/>
            <w:shd w:val="clear" w:color="auto" w:fill="F5F7F9"/>
            <w:vAlign w:val="center"/>
          </w:tcPr>
          <w:p w14:paraId="2AC3EACA" w14:textId="77777777" w:rsidR="00051C16" w:rsidRDefault="00000000">
            <w:r>
              <w:rPr>
                <w:sz w:val="15"/>
              </w:rPr>
              <w:t>Company, operating model, stakeholders, and problem statement</w:t>
            </w:r>
          </w:p>
        </w:tc>
      </w:tr>
      <w:tr w:rsidR="00051C16" w14:paraId="03B03426" w14:textId="77777777">
        <w:trPr>
          <w:jc w:val="center"/>
        </w:trPr>
        <w:tc>
          <w:tcPr>
            <w:tcW w:w="2952" w:type="dxa"/>
            <w:vAlign w:val="center"/>
          </w:tcPr>
          <w:p w14:paraId="29314FF5" w14:textId="77777777" w:rsidR="00051C16" w:rsidRDefault="00000000">
            <w:r>
              <w:rPr>
                <w:b/>
                <w:sz w:val="15"/>
              </w:rPr>
              <w:t>3. Objectives, Scope &amp; Benchmark</w:t>
            </w:r>
          </w:p>
        </w:tc>
        <w:tc>
          <w:tcPr>
            <w:tcW w:w="6696" w:type="dxa"/>
            <w:vAlign w:val="center"/>
          </w:tcPr>
          <w:p w14:paraId="63D529C4" w14:textId="77777777" w:rsidR="00051C16" w:rsidRDefault="00000000">
            <w:r>
              <w:rPr>
                <w:sz w:val="15"/>
              </w:rPr>
              <w:t>Analytical objectives, questions, reporting period, and benchmark design</w:t>
            </w:r>
          </w:p>
        </w:tc>
      </w:tr>
      <w:tr w:rsidR="00051C16" w14:paraId="1417D5A2" w14:textId="77777777">
        <w:trPr>
          <w:jc w:val="center"/>
        </w:trPr>
        <w:tc>
          <w:tcPr>
            <w:tcW w:w="2952" w:type="dxa"/>
            <w:shd w:val="clear" w:color="auto" w:fill="F5F7F9"/>
            <w:vAlign w:val="center"/>
          </w:tcPr>
          <w:p w14:paraId="19CD5785" w14:textId="77777777" w:rsidR="00051C16" w:rsidRDefault="00000000">
            <w:r>
              <w:rPr>
                <w:b/>
                <w:sz w:val="15"/>
              </w:rPr>
              <w:t>4. Data Architecture &amp; Source Inventory</w:t>
            </w:r>
          </w:p>
        </w:tc>
        <w:tc>
          <w:tcPr>
            <w:tcW w:w="6696" w:type="dxa"/>
            <w:shd w:val="clear" w:color="auto" w:fill="F5F7F9"/>
            <w:vAlign w:val="center"/>
          </w:tcPr>
          <w:p w14:paraId="75A34841" w14:textId="77777777" w:rsidR="00051C16" w:rsidRDefault="00000000">
            <w:r>
              <w:rPr>
                <w:sz w:val="15"/>
              </w:rPr>
              <w:t>Seven source datasets, relationships, and data lineage</w:t>
            </w:r>
          </w:p>
        </w:tc>
      </w:tr>
      <w:tr w:rsidR="00051C16" w14:paraId="4355BEED" w14:textId="77777777">
        <w:trPr>
          <w:jc w:val="center"/>
        </w:trPr>
        <w:tc>
          <w:tcPr>
            <w:tcW w:w="2952" w:type="dxa"/>
            <w:vAlign w:val="center"/>
          </w:tcPr>
          <w:p w14:paraId="716B709B" w14:textId="77777777" w:rsidR="00051C16" w:rsidRDefault="00000000">
            <w:r>
              <w:rPr>
                <w:b/>
                <w:sz w:val="15"/>
              </w:rPr>
              <w:t>5. Data Preparation &amp; Quality Assessment</w:t>
            </w:r>
          </w:p>
        </w:tc>
        <w:tc>
          <w:tcPr>
            <w:tcW w:w="6696" w:type="dxa"/>
            <w:vAlign w:val="center"/>
          </w:tcPr>
          <w:p w14:paraId="41CBD276" w14:textId="77777777" w:rsidR="00051C16" w:rsidRDefault="00000000">
            <w:r>
              <w:rPr>
                <w:sz w:val="15"/>
              </w:rPr>
              <w:t>Cleaning, validation, exceptions, and residual data risks</w:t>
            </w:r>
          </w:p>
        </w:tc>
      </w:tr>
      <w:tr w:rsidR="00051C16" w14:paraId="73F40B9A" w14:textId="77777777">
        <w:trPr>
          <w:jc w:val="center"/>
        </w:trPr>
        <w:tc>
          <w:tcPr>
            <w:tcW w:w="2952" w:type="dxa"/>
            <w:shd w:val="clear" w:color="auto" w:fill="F5F7F9"/>
            <w:vAlign w:val="center"/>
          </w:tcPr>
          <w:p w14:paraId="4B8A5D91" w14:textId="77777777" w:rsidR="00051C16" w:rsidRDefault="00000000">
            <w:r>
              <w:rPr>
                <w:b/>
                <w:sz w:val="15"/>
              </w:rPr>
              <w:t>6. Financial Definitions &amp; Analytical Methodology</w:t>
            </w:r>
          </w:p>
        </w:tc>
        <w:tc>
          <w:tcPr>
            <w:tcW w:w="6696" w:type="dxa"/>
            <w:shd w:val="clear" w:color="auto" w:fill="F5F7F9"/>
            <w:vAlign w:val="center"/>
          </w:tcPr>
          <w:p w14:paraId="16346ADB" w14:textId="77777777" w:rsidR="00051C16" w:rsidRDefault="00000000">
            <w:r>
              <w:rPr>
                <w:sz w:val="15"/>
              </w:rPr>
              <w:t>Revenue, discount, cost, profitability, variance, and prioritization logic</w:t>
            </w:r>
          </w:p>
        </w:tc>
      </w:tr>
      <w:tr w:rsidR="00051C16" w14:paraId="410D6317" w14:textId="77777777">
        <w:trPr>
          <w:jc w:val="center"/>
        </w:trPr>
        <w:tc>
          <w:tcPr>
            <w:tcW w:w="2952" w:type="dxa"/>
            <w:vAlign w:val="center"/>
          </w:tcPr>
          <w:p w14:paraId="746E0E0D" w14:textId="77777777" w:rsidR="00051C16" w:rsidRDefault="00000000">
            <w:r>
              <w:rPr>
                <w:b/>
                <w:sz w:val="15"/>
              </w:rPr>
              <w:t>7. Workstream 1 - Data Quality &amp; Reporting Readiness</w:t>
            </w:r>
          </w:p>
        </w:tc>
        <w:tc>
          <w:tcPr>
            <w:tcW w:w="6696" w:type="dxa"/>
            <w:vAlign w:val="center"/>
          </w:tcPr>
          <w:p w14:paraId="3D1DF359" w14:textId="77777777" w:rsidR="00051C16" w:rsidRDefault="00000000">
            <w:r>
              <w:rPr>
                <w:sz w:val="15"/>
              </w:rPr>
              <w:t>Readiness assessment and conclusion</w:t>
            </w:r>
          </w:p>
        </w:tc>
      </w:tr>
      <w:tr w:rsidR="00051C16" w14:paraId="75EAF91D" w14:textId="77777777">
        <w:trPr>
          <w:jc w:val="center"/>
        </w:trPr>
        <w:tc>
          <w:tcPr>
            <w:tcW w:w="2952" w:type="dxa"/>
            <w:shd w:val="clear" w:color="auto" w:fill="F5F7F9"/>
            <w:vAlign w:val="center"/>
          </w:tcPr>
          <w:p w14:paraId="399F4751" w14:textId="77777777" w:rsidR="00051C16" w:rsidRDefault="00000000">
            <w:r>
              <w:rPr>
                <w:b/>
                <w:sz w:val="15"/>
              </w:rPr>
              <w:t>8. Workstream 2 - Revenue Performance</w:t>
            </w:r>
          </w:p>
        </w:tc>
        <w:tc>
          <w:tcPr>
            <w:tcW w:w="6696" w:type="dxa"/>
            <w:shd w:val="clear" w:color="auto" w:fill="F5F7F9"/>
            <w:vAlign w:val="center"/>
          </w:tcPr>
          <w:p w14:paraId="2E7FBFB9" w14:textId="77777777" w:rsidR="00051C16" w:rsidRDefault="00000000">
            <w:r>
              <w:rPr>
                <w:sz w:val="15"/>
              </w:rPr>
              <w:t>Revenue composition, concentration, and mix interpretation</w:t>
            </w:r>
          </w:p>
        </w:tc>
      </w:tr>
      <w:tr w:rsidR="00051C16" w14:paraId="171D2205" w14:textId="77777777">
        <w:trPr>
          <w:jc w:val="center"/>
        </w:trPr>
        <w:tc>
          <w:tcPr>
            <w:tcW w:w="2952" w:type="dxa"/>
            <w:vAlign w:val="center"/>
          </w:tcPr>
          <w:p w14:paraId="5263D6BA" w14:textId="77777777" w:rsidR="00051C16" w:rsidRDefault="00000000">
            <w:r>
              <w:rPr>
                <w:b/>
                <w:sz w:val="15"/>
              </w:rPr>
              <w:t>9. Workstream 3 - Discount &amp; Pricing Realization</w:t>
            </w:r>
          </w:p>
        </w:tc>
        <w:tc>
          <w:tcPr>
            <w:tcW w:w="6696" w:type="dxa"/>
            <w:vAlign w:val="center"/>
          </w:tcPr>
          <w:p w14:paraId="5B318DE3" w14:textId="77777777" w:rsidR="00051C16" w:rsidRDefault="00000000">
            <w:r>
              <w:rPr>
                <w:sz w:val="15"/>
              </w:rPr>
              <w:t>Discount exposure, interpretation, and governance implication</w:t>
            </w:r>
          </w:p>
        </w:tc>
      </w:tr>
      <w:tr w:rsidR="00051C16" w14:paraId="38DE6D1F" w14:textId="77777777">
        <w:trPr>
          <w:jc w:val="center"/>
        </w:trPr>
        <w:tc>
          <w:tcPr>
            <w:tcW w:w="2952" w:type="dxa"/>
            <w:shd w:val="clear" w:color="auto" w:fill="F5F7F9"/>
            <w:vAlign w:val="center"/>
          </w:tcPr>
          <w:p w14:paraId="53AEEA83" w14:textId="77777777" w:rsidR="00051C16" w:rsidRDefault="00000000">
            <w:r>
              <w:rPr>
                <w:b/>
                <w:sz w:val="15"/>
              </w:rPr>
              <w:t>10. Workstream 4 - Cost Structure &amp; Cost Pressure</w:t>
            </w:r>
          </w:p>
        </w:tc>
        <w:tc>
          <w:tcPr>
            <w:tcW w:w="6696" w:type="dxa"/>
            <w:shd w:val="clear" w:color="auto" w:fill="F5F7F9"/>
            <w:vAlign w:val="center"/>
          </w:tcPr>
          <w:p w14:paraId="7867957A" w14:textId="77777777" w:rsidR="00051C16" w:rsidRDefault="00000000">
            <w:r>
              <w:rPr>
                <w:sz w:val="15"/>
              </w:rPr>
              <w:t>Cost behavior and benchmarked product overruns</w:t>
            </w:r>
          </w:p>
        </w:tc>
      </w:tr>
      <w:tr w:rsidR="00051C16" w14:paraId="02FD6ED8" w14:textId="77777777">
        <w:trPr>
          <w:jc w:val="center"/>
        </w:trPr>
        <w:tc>
          <w:tcPr>
            <w:tcW w:w="2952" w:type="dxa"/>
            <w:vAlign w:val="center"/>
          </w:tcPr>
          <w:p w14:paraId="480D0538" w14:textId="77777777" w:rsidR="00051C16" w:rsidRDefault="00000000">
            <w:r>
              <w:rPr>
                <w:b/>
                <w:sz w:val="15"/>
              </w:rPr>
              <w:t>11. Workstream 5 - Profitability &amp; Margin Analysis</w:t>
            </w:r>
          </w:p>
        </w:tc>
        <w:tc>
          <w:tcPr>
            <w:tcW w:w="6696" w:type="dxa"/>
            <w:vAlign w:val="center"/>
          </w:tcPr>
          <w:p w14:paraId="368E0FB5" w14:textId="77777777" w:rsidR="00051C16" w:rsidRDefault="00000000">
            <w:r>
              <w:rPr>
                <w:sz w:val="15"/>
              </w:rPr>
              <w:t>BU economics, contribution margin, and value-creation areas</w:t>
            </w:r>
          </w:p>
        </w:tc>
      </w:tr>
      <w:tr w:rsidR="00051C16" w14:paraId="663097A7" w14:textId="77777777">
        <w:trPr>
          <w:jc w:val="center"/>
        </w:trPr>
        <w:tc>
          <w:tcPr>
            <w:tcW w:w="2952" w:type="dxa"/>
            <w:shd w:val="clear" w:color="auto" w:fill="F5F7F9"/>
            <w:vAlign w:val="center"/>
          </w:tcPr>
          <w:p w14:paraId="4F921103" w14:textId="77777777" w:rsidR="00051C16" w:rsidRDefault="00000000">
            <w:r>
              <w:rPr>
                <w:b/>
                <w:sz w:val="15"/>
              </w:rPr>
              <w:t>12. Workstream 6 - Budget Variance Analysis</w:t>
            </w:r>
          </w:p>
        </w:tc>
        <w:tc>
          <w:tcPr>
            <w:tcW w:w="6696" w:type="dxa"/>
            <w:shd w:val="clear" w:color="auto" w:fill="F5F7F9"/>
            <w:vAlign w:val="center"/>
          </w:tcPr>
          <w:p w14:paraId="31A370F1" w14:textId="77777777" w:rsidR="00051C16" w:rsidRDefault="00000000">
            <w:r>
              <w:rPr>
                <w:sz w:val="15"/>
              </w:rPr>
              <w:t>Actual-vs-budget work and comparability limitation</w:t>
            </w:r>
          </w:p>
        </w:tc>
      </w:tr>
      <w:tr w:rsidR="00051C16" w14:paraId="4AB8D60C" w14:textId="77777777">
        <w:trPr>
          <w:jc w:val="center"/>
        </w:trPr>
        <w:tc>
          <w:tcPr>
            <w:tcW w:w="2952" w:type="dxa"/>
            <w:vAlign w:val="center"/>
          </w:tcPr>
          <w:p w14:paraId="7136D428" w14:textId="77777777" w:rsidR="00051C16" w:rsidRDefault="00000000">
            <w:r>
              <w:rPr>
                <w:b/>
                <w:sz w:val="15"/>
              </w:rPr>
              <w:t>13. Workstream 7 - Driver Investigation &amp; Anomaly Review</w:t>
            </w:r>
          </w:p>
        </w:tc>
        <w:tc>
          <w:tcPr>
            <w:tcW w:w="6696" w:type="dxa"/>
            <w:vAlign w:val="center"/>
          </w:tcPr>
          <w:p w14:paraId="5F75F159" w14:textId="77777777" w:rsidR="00051C16" w:rsidRDefault="00000000">
            <w:r>
              <w:rPr>
                <w:sz w:val="15"/>
              </w:rPr>
              <w:t>Cross-workstream diagnosis and exception handling</w:t>
            </w:r>
          </w:p>
        </w:tc>
      </w:tr>
      <w:tr w:rsidR="00051C16" w14:paraId="61CF50C7" w14:textId="77777777">
        <w:trPr>
          <w:jc w:val="center"/>
        </w:trPr>
        <w:tc>
          <w:tcPr>
            <w:tcW w:w="2952" w:type="dxa"/>
            <w:shd w:val="clear" w:color="auto" w:fill="F5F7F9"/>
            <w:vAlign w:val="center"/>
          </w:tcPr>
          <w:p w14:paraId="2FF867B9" w14:textId="77777777" w:rsidR="00051C16" w:rsidRDefault="00000000">
            <w:r>
              <w:rPr>
                <w:b/>
                <w:sz w:val="15"/>
              </w:rPr>
              <w:t>14. Workstream 8 - Financial Impact &amp; Prioritization</w:t>
            </w:r>
          </w:p>
        </w:tc>
        <w:tc>
          <w:tcPr>
            <w:tcW w:w="6696" w:type="dxa"/>
            <w:shd w:val="clear" w:color="auto" w:fill="F5F7F9"/>
            <w:vAlign w:val="center"/>
          </w:tcPr>
          <w:p w14:paraId="67AFE41E" w14:textId="77777777" w:rsidR="00051C16" w:rsidRDefault="00000000">
            <w:r>
              <w:rPr>
                <w:sz w:val="15"/>
              </w:rPr>
              <w:t>Ranked quantified exposures and opportunities</w:t>
            </w:r>
          </w:p>
        </w:tc>
      </w:tr>
      <w:tr w:rsidR="00051C16" w14:paraId="085674D3" w14:textId="77777777">
        <w:trPr>
          <w:jc w:val="center"/>
        </w:trPr>
        <w:tc>
          <w:tcPr>
            <w:tcW w:w="2952" w:type="dxa"/>
            <w:vAlign w:val="center"/>
          </w:tcPr>
          <w:p w14:paraId="695AC220" w14:textId="77777777" w:rsidR="00051C16" w:rsidRDefault="00000000">
            <w:r>
              <w:rPr>
                <w:b/>
                <w:sz w:val="15"/>
              </w:rPr>
              <w:t>15. Workstream 9 - Management Recommendations</w:t>
            </w:r>
          </w:p>
        </w:tc>
        <w:tc>
          <w:tcPr>
            <w:tcW w:w="6696" w:type="dxa"/>
            <w:vAlign w:val="center"/>
          </w:tcPr>
          <w:p w14:paraId="59D62BAD" w14:textId="77777777" w:rsidR="00051C16" w:rsidRDefault="00000000">
            <w:r>
              <w:rPr>
                <w:sz w:val="15"/>
              </w:rPr>
              <w:t>Prioritized actions and management focus</w:t>
            </w:r>
          </w:p>
        </w:tc>
      </w:tr>
      <w:tr w:rsidR="00051C16" w14:paraId="29960113" w14:textId="77777777">
        <w:trPr>
          <w:jc w:val="center"/>
        </w:trPr>
        <w:tc>
          <w:tcPr>
            <w:tcW w:w="2952" w:type="dxa"/>
            <w:shd w:val="clear" w:color="auto" w:fill="F5F7F9"/>
            <w:vAlign w:val="center"/>
          </w:tcPr>
          <w:p w14:paraId="77CC887C" w14:textId="77777777" w:rsidR="00051C16" w:rsidRDefault="00000000">
            <w:r>
              <w:rPr>
                <w:b/>
                <w:sz w:val="15"/>
              </w:rPr>
              <w:t>16. Limitations, Caveats &amp; Validation Requirements</w:t>
            </w:r>
          </w:p>
        </w:tc>
        <w:tc>
          <w:tcPr>
            <w:tcW w:w="6696" w:type="dxa"/>
            <w:shd w:val="clear" w:color="auto" w:fill="F5F7F9"/>
            <w:vAlign w:val="center"/>
          </w:tcPr>
          <w:p w14:paraId="7C9CE1F9" w14:textId="77777777" w:rsidR="00051C16" w:rsidRDefault="00000000">
            <w:r>
              <w:rPr>
                <w:sz w:val="15"/>
              </w:rPr>
              <w:t>What the analysis can and cannot prove</w:t>
            </w:r>
          </w:p>
        </w:tc>
      </w:tr>
      <w:tr w:rsidR="00051C16" w14:paraId="53444FE0" w14:textId="77777777">
        <w:trPr>
          <w:jc w:val="center"/>
        </w:trPr>
        <w:tc>
          <w:tcPr>
            <w:tcW w:w="2952" w:type="dxa"/>
            <w:vAlign w:val="center"/>
          </w:tcPr>
          <w:p w14:paraId="7AB3F3DD" w14:textId="77777777" w:rsidR="00051C16" w:rsidRDefault="00000000">
            <w:r>
              <w:rPr>
                <w:b/>
                <w:sz w:val="15"/>
              </w:rPr>
              <w:t>17. Final Conclusion</w:t>
            </w:r>
          </w:p>
        </w:tc>
        <w:tc>
          <w:tcPr>
            <w:tcW w:w="6696" w:type="dxa"/>
            <w:vAlign w:val="center"/>
          </w:tcPr>
          <w:p w14:paraId="649F6DCD" w14:textId="77777777" w:rsidR="00051C16" w:rsidRDefault="00000000">
            <w:r>
              <w:rPr>
                <w:sz w:val="15"/>
              </w:rPr>
              <w:t>Integrated answer to the central finance question</w:t>
            </w:r>
          </w:p>
        </w:tc>
      </w:tr>
      <w:tr w:rsidR="00051C16" w14:paraId="74C1772F" w14:textId="77777777">
        <w:trPr>
          <w:jc w:val="center"/>
        </w:trPr>
        <w:tc>
          <w:tcPr>
            <w:tcW w:w="2952" w:type="dxa"/>
            <w:shd w:val="clear" w:color="auto" w:fill="F5F7F9"/>
            <w:vAlign w:val="center"/>
          </w:tcPr>
          <w:p w14:paraId="7EB92E9F" w14:textId="77777777" w:rsidR="00051C16" w:rsidRDefault="00000000">
            <w:r>
              <w:rPr>
                <w:b/>
                <w:sz w:val="15"/>
              </w:rPr>
              <w:t>Appendix</w:t>
            </w:r>
          </w:p>
        </w:tc>
        <w:tc>
          <w:tcPr>
            <w:tcW w:w="6696" w:type="dxa"/>
            <w:shd w:val="clear" w:color="auto" w:fill="F5F7F9"/>
            <w:vAlign w:val="center"/>
          </w:tcPr>
          <w:p w14:paraId="213E7955" w14:textId="77777777" w:rsidR="00051C16" w:rsidRDefault="00000000">
            <w:r>
              <w:rPr>
                <w:sz w:val="15"/>
              </w:rPr>
              <w:t>Evidence matrix, data-treatment matrix, and decision rules</w:t>
            </w:r>
          </w:p>
        </w:tc>
      </w:tr>
    </w:tbl>
    <w:p w14:paraId="3D0646F4" w14:textId="77777777" w:rsidR="00051C16" w:rsidRDefault="00051C16">
      <w:pPr>
        <w:spacing w:after="20"/>
      </w:pPr>
    </w:p>
    <w:tbl>
      <w:tblPr>
        <w:tblStyle w:val="TableGrid"/>
        <w:tblW w:w="0" w:type="auto"/>
        <w:jc w:val="center"/>
        <w:tblLook w:val="04A0" w:firstRow="1" w:lastRow="0" w:firstColumn="1" w:lastColumn="0" w:noHBand="0" w:noVBand="1"/>
      </w:tblPr>
      <w:tblGrid>
        <w:gridCol w:w="10166"/>
      </w:tblGrid>
      <w:tr w:rsidR="00051C16" w14:paraId="1416DEA4" w14:textId="77777777">
        <w:trPr>
          <w:tblHeader/>
          <w:jc w:val="center"/>
        </w:trPr>
        <w:tc>
          <w:tcPr>
            <w:tcW w:w="10166" w:type="dxa"/>
            <w:shd w:val="clear" w:color="auto" w:fill="F5F7F9"/>
          </w:tcPr>
          <w:p w14:paraId="34DCC24D" w14:textId="77777777" w:rsidR="00051C16" w:rsidRDefault="00000000">
            <w:pPr>
              <w:spacing w:after="40"/>
            </w:pPr>
            <w:r>
              <w:rPr>
                <w:b/>
                <w:color w:val="1F4E6E"/>
              </w:rPr>
              <w:t>Reading order</w:t>
            </w:r>
            <w:r>
              <w:rPr>
                <w:sz w:val="17"/>
              </w:rPr>
              <w:t xml:space="preserve">  Start with the Executive Summary for the decision-level answer. Use the workstream sections to inspect the evidence and analytical reasoning behind each conclusion.</w:t>
            </w:r>
          </w:p>
        </w:tc>
      </w:tr>
    </w:tbl>
    <w:p w14:paraId="4C67E4D0" w14:textId="77777777" w:rsidR="00051C16" w:rsidRDefault="00051C16">
      <w:pPr>
        <w:spacing w:after="20"/>
      </w:pPr>
    </w:p>
    <w:p w14:paraId="48C1D1FC" w14:textId="77777777" w:rsidR="00051C16" w:rsidRDefault="00000000">
      <w:r>
        <w:br w:type="page"/>
      </w:r>
    </w:p>
    <w:p w14:paraId="4EA182E4" w14:textId="77777777" w:rsidR="00051C16" w:rsidRDefault="00000000">
      <w:pPr>
        <w:pStyle w:val="Heading1"/>
      </w:pPr>
      <w:r>
        <w:lastRenderedPageBreak/>
        <w:t>1. Executive Summary</w:t>
      </w:r>
    </w:p>
    <w:p w14:paraId="25275692" w14:textId="77777777" w:rsidR="00051C16" w:rsidRDefault="00000000">
      <w:r>
        <w:t>The H1 2025 analysis was designed to explain why revenue growth at Aether Precision Systems was not translating into proportional profitability improvement. The investigation covered nine connected workstreams spanning data readiness, revenue, pricing, costs, profitability, budget variance, driver investigation, financial impact, and management recommendations.</w:t>
      </w:r>
    </w:p>
    <w:tbl>
      <w:tblPr>
        <w:tblStyle w:val="TableGrid"/>
        <w:tblW w:w="0" w:type="auto"/>
        <w:jc w:val="center"/>
        <w:tblLook w:val="04A0" w:firstRow="1" w:lastRow="0" w:firstColumn="1" w:lastColumn="0" w:noHBand="0" w:noVBand="1"/>
      </w:tblPr>
      <w:tblGrid>
        <w:gridCol w:w="10166"/>
      </w:tblGrid>
      <w:tr w:rsidR="00051C16" w14:paraId="7D3BF341" w14:textId="77777777">
        <w:trPr>
          <w:tblHeader/>
          <w:jc w:val="center"/>
        </w:trPr>
        <w:tc>
          <w:tcPr>
            <w:tcW w:w="10166" w:type="dxa"/>
            <w:shd w:val="clear" w:color="auto" w:fill="EAF2F8"/>
          </w:tcPr>
          <w:p w14:paraId="7130EE89" w14:textId="77777777" w:rsidR="00051C16" w:rsidRDefault="00000000">
            <w:pPr>
              <w:spacing w:after="40"/>
            </w:pPr>
            <w:r>
              <w:rPr>
                <w:b/>
                <w:color w:val="1F4E6E"/>
              </w:rPr>
              <w:t>Overall conclusion</w:t>
            </w:r>
            <w:r>
              <w:rPr>
                <w:sz w:val="17"/>
              </w:rPr>
              <w:t xml:space="preserve">  The profitability gap is not explained by a single factor. The strongest evidence points to discounting and revenue-realization pressure, product-level cost overruns, lower-margin Field Services economics, and mix effects, while data-quality limitations reduce confidence in some dimension-level and budget conclusions.</w:t>
            </w:r>
          </w:p>
        </w:tc>
      </w:tr>
    </w:tbl>
    <w:p w14:paraId="7FEFFD9E" w14:textId="77777777" w:rsidR="00051C16" w:rsidRDefault="00051C16">
      <w:pPr>
        <w:spacing w:after="20"/>
      </w:pPr>
    </w:p>
    <w:tbl>
      <w:tblPr>
        <w:tblStyle w:val="TableGrid"/>
        <w:tblW w:w="0" w:type="auto"/>
        <w:jc w:val="center"/>
        <w:tblLook w:val="04A0" w:firstRow="1" w:lastRow="0" w:firstColumn="1" w:lastColumn="0" w:noHBand="0" w:noVBand="1"/>
      </w:tblPr>
      <w:tblGrid>
        <w:gridCol w:w="2952"/>
        <w:gridCol w:w="2736"/>
        <w:gridCol w:w="4248"/>
      </w:tblGrid>
      <w:tr w:rsidR="00051C16" w14:paraId="351A4AFF" w14:textId="77777777">
        <w:trPr>
          <w:tblHeader/>
          <w:jc w:val="center"/>
        </w:trPr>
        <w:tc>
          <w:tcPr>
            <w:tcW w:w="2952" w:type="dxa"/>
            <w:shd w:val="clear" w:color="auto" w:fill="1F4E6E"/>
            <w:vAlign w:val="center"/>
          </w:tcPr>
          <w:p w14:paraId="34E1A417" w14:textId="77777777" w:rsidR="00051C16" w:rsidRDefault="00000000">
            <w:pPr>
              <w:jc w:val="center"/>
            </w:pPr>
            <w:r>
              <w:rPr>
                <w:b/>
                <w:color w:val="FFFFFF"/>
                <w:sz w:val="16"/>
              </w:rPr>
              <w:t>Metric / Finding</w:t>
            </w:r>
          </w:p>
        </w:tc>
        <w:tc>
          <w:tcPr>
            <w:tcW w:w="2736" w:type="dxa"/>
            <w:shd w:val="clear" w:color="auto" w:fill="1F4E6E"/>
            <w:vAlign w:val="center"/>
          </w:tcPr>
          <w:p w14:paraId="4F60CC6A" w14:textId="77777777" w:rsidR="00051C16" w:rsidRDefault="00000000">
            <w:pPr>
              <w:jc w:val="center"/>
            </w:pPr>
            <w:r>
              <w:rPr>
                <w:b/>
                <w:color w:val="FFFFFF"/>
                <w:sz w:val="16"/>
              </w:rPr>
              <w:t>H1 2025 result</w:t>
            </w:r>
          </w:p>
        </w:tc>
        <w:tc>
          <w:tcPr>
            <w:tcW w:w="4248" w:type="dxa"/>
            <w:shd w:val="clear" w:color="auto" w:fill="1F4E6E"/>
            <w:vAlign w:val="center"/>
          </w:tcPr>
          <w:p w14:paraId="4F8ED1FA" w14:textId="77777777" w:rsidR="00051C16" w:rsidRDefault="00000000">
            <w:pPr>
              <w:jc w:val="center"/>
            </w:pPr>
            <w:r>
              <w:rPr>
                <w:b/>
                <w:color w:val="FFFFFF"/>
                <w:sz w:val="16"/>
              </w:rPr>
              <w:t>Interpretation</w:t>
            </w:r>
          </w:p>
        </w:tc>
      </w:tr>
      <w:tr w:rsidR="00051C16" w14:paraId="0705645B" w14:textId="77777777">
        <w:trPr>
          <w:jc w:val="center"/>
        </w:trPr>
        <w:tc>
          <w:tcPr>
            <w:tcW w:w="2952" w:type="dxa"/>
            <w:vAlign w:val="center"/>
          </w:tcPr>
          <w:p w14:paraId="4CBBF70C" w14:textId="77777777" w:rsidR="00051C16" w:rsidRDefault="00000000">
            <w:r>
              <w:rPr>
                <w:b/>
                <w:sz w:val="15"/>
              </w:rPr>
              <w:t>Gross Revenue</w:t>
            </w:r>
          </w:p>
        </w:tc>
        <w:tc>
          <w:tcPr>
            <w:tcW w:w="2736" w:type="dxa"/>
            <w:vAlign w:val="center"/>
          </w:tcPr>
          <w:p w14:paraId="62015C1A" w14:textId="77777777" w:rsidR="00051C16" w:rsidRDefault="00000000">
            <w:r>
              <w:rPr>
                <w:sz w:val="15"/>
              </w:rPr>
              <w:t>$4,602,695</w:t>
            </w:r>
          </w:p>
        </w:tc>
        <w:tc>
          <w:tcPr>
            <w:tcW w:w="4248" w:type="dxa"/>
            <w:vAlign w:val="center"/>
          </w:tcPr>
          <w:p w14:paraId="69373BFE" w14:textId="77777777" w:rsidR="00051C16" w:rsidRDefault="00000000">
            <w:r>
              <w:rPr>
                <w:sz w:val="15"/>
              </w:rPr>
              <w:t>Validated H1 gross revenue used in the final analysis</w:t>
            </w:r>
          </w:p>
        </w:tc>
      </w:tr>
      <w:tr w:rsidR="00051C16" w14:paraId="4EEDCBAB" w14:textId="77777777">
        <w:trPr>
          <w:jc w:val="center"/>
        </w:trPr>
        <w:tc>
          <w:tcPr>
            <w:tcW w:w="2952" w:type="dxa"/>
            <w:shd w:val="clear" w:color="auto" w:fill="F5F7F9"/>
            <w:vAlign w:val="center"/>
          </w:tcPr>
          <w:p w14:paraId="74E7ABCE" w14:textId="77777777" w:rsidR="00051C16" w:rsidRDefault="00000000">
            <w:r>
              <w:rPr>
                <w:b/>
                <w:sz w:val="15"/>
              </w:rPr>
              <w:t>Discounts</w:t>
            </w:r>
          </w:p>
        </w:tc>
        <w:tc>
          <w:tcPr>
            <w:tcW w:w="2736" w:type="dxa"/>
            <w:shd w:val="clear" w:color="auto" w:fill="F5F7F9"/>
            <w:vAlign w:val="center"/>
          </w:tcPr>
          <w:p w14:paraId="76B6F93D" w14:textId="77777777" w:rsidR="00051C16" w:rsidRDefault="00000000">
            <w:r>
              <w:rPr>
                <w:sz w:val="15"/>
              </w:rPr>
              <w:t>$674,629.71</w:t>
            </w:r>
          </w:p>
        </w:tc>
        <w:tc>
          <w:tcPr>
            <w:tcW w:w="4248" w:type="dxa"/>
            <w:shd w:val="clear" w:color="auto" w:fill="F5F7F9"/>
            <w:vAlign w:val="center"/>
          </w:tcPr>
          <w:p w14:paraId="64849FA8" w14:textId="77777777" w:rsidR="00051C16" w:rsidRDefault="00000000">
            <w:r>
              <w:rPr>
                <w:sz w:val="15"/>
              </w:rPr>
              <w:t>Revenue surrendered through discounts before net revenue realization</w:t>
            </w:r>
          </w:p>
        </w:tc>
      </w:tr>
      <w:tr w:rsidR="00051C16" w14:paraId="6F23079C" w14:textId="77777777">
        <w:trPr>
          <w:jc w:val="center"/>
        </w:trPr>
        <w:tc>
          <w:tcPr>
            <w:tcW w:w="2952" w:type="dxa"/>
            <w:vAlign w:val="center"/>
          </w:tcPr>
          <w:p w14:paraId="13AB3E95" w14:textId="77777777" w:rsidR="00051C16" w:rsidRDefault="00000000">
            <w:r>
              <w:rPr>
                <w:b/>
                <w:sz w:val="15"/>
              </w:rPr>
              <w:t>Net Revenue</w:t>
            </w:r>
          </w:p>
        </w:tc>
        <w:tc>
          <w:tcPr>
            <w:tcW w:w="2736" w:type="dxa"/>
            <w:vAlign w:val="center"/>
          </w:tcPr>
          <w:p w14:paraId="2B8C9D57" w14:textId="77777777" w:rsidR="00051C16" w:rsidRDefault="00000000">
            <w:r>
              <w:rPr>
                <w:sz w:val="15"/>
              </w:rPr>
              <w:t>$3,928,065.29</w:t>
            </w:r>
          </w:p>
        </w:tc>
        <w:tc>
          <w:tcPr>
            <w:tcW w:w="4248" w:type="dxa"/>
            <w:vAlign w:val="center"/>
          </w:tcPr>
          <w:p w14:paraId="4C7CE9D2" w14:textId="77777777" w:rsidR="00051C16" w:rsidRDefault="00000000">
            <w:r>
              <w:rPr>
                <w:sz w:val="15"/>
              </w:rPr>
              <w:t>Validated revenue after discounts</w:t>
            </w:r>
          </w:p>
        </w:tc>
      </w:tr>
      <w:tr w:rsidR="00051C16" w14:paraId="08B4409A" w14:textId="77777777">
        <w:trPr>
          <w:jc w:val="center"/>
        </w:trPr>
        <w:tc>
          <w:tcPr>
            <w:tcW w:w="2952" w:type="dxa"/>
            <w:shd w:val="clear" w:color="auto" w:fill="F5F7F9"/>
            <w:vAlign w:val="center"/>
          </w:tcPr>
          <w:p w14:paraId="2DE7E236" w14:textId="77777777" w:rsidR="00051C16" w:rsidRDefault="00000000">
            <w:r>
              <w:rPr>
                <w:b/>
                <w:sz w:val="15"/>
              </w:rPr>
              <w:t>Overall Discount Rate</w:t>
            </w:r>
          </w:p>
        </w:tc>
        <w:tc>
          <w:tcPr>
            <w:tcW w:w="2736" w:type="dxa"/>
            <w:shd w:val="clear" w:color="auto" w:fill="F5F7F9"/>
            <w:vAlign w:val="center"/>
          </w:tcPr>
          <w:p w14:paraId="33DDF2E1" w14:textId="77777777" w:rsidR="00051C16" w:rsidRDefault="00000000">
            <w:r>
              <w:rPr>
                <w:sz w:val="15"/>
              </w:rPr>
              <w:t>14.66%</w:t>
            </w:r>
          </w:p>
        </w:tc>
        <w:tc>
          <w:tcPr>
            <w:tcW w:w="4248" w:type="dxa"/>
            <w:shd w:val="clear" w:color="auto" w:fill="F5F7F9"/>
            <w:vAlign w:val="center"/>
          </w:tcPr>
          <w:p w14:paraId="64BB8398" w14:textId="77777777" w:rsidR="00051C16" w:rsidRDefault="00000000">
            <w:r>
              <w:rPr>
                <w:sz w:val="15"/>
              </w:rPr>
              <w:t>Discounts as a share of gross revenue</w:t>
            </w:r>
          </w:p>
        </w:tc>
      </w:tr>
      <w:tr w:rsidR="00051C16" w14:paraId="23040429" w14:textId="77777777">
        <w:trPr>
          <w:jc w:val="center"/>
        </w:trPr>
        <w:tc>
          <w:tcPr>
            <w:tcW w:w="2952" w:type="dxa"/>
            <w:vAlign w:val="center"/>
          </w:tcPr>
          <w:p w14:paraId="061F1A62" w14:textId="77777777" w:rsidR="00051C16" w:rsidRDefault="00000000">
            <w:r>
              <w:rPr>
                <w:b/>
                <w:sz w:val="15"/>
              </w:rPr>
              <w:t>Largest Revenue Contributor</w:t>
            </w:r>
          </w:p>
        </w:tc>
        <w:tc>
          <w:tcPr>
            <w:tcW w:w="2736" w:type="dxa"/>
            <w:vAlign w:val="center"/>
          </w:tcPr>
          <w:p w14:paraId="7243CB2F" w14:textId="77777777" w:rsidR="00051C16" w:rsidRDefault="00000000">
            <w:r>
              <w:rPr>
                <w:sz w:val="15"/>
              </w:rPr>
              <w:t>Sensors &amp; Instruments = 57.59% of H1 Net Revenue</w:t>
            </w:r>
          </w:p>
        </w:tc>
        <w:tc>
          <w:tcPr>
            <w:tcW w:w="4248" w:type="dxa"/>
            <w:vAlign w:val="center"/>
          </w:tcPr>
          <w:p w14:paraId="2DD6C303" w14:textId="77777777" w:rsidR="00051C16" w:rsidRDefault="00000000">
            <w:r>
              <w:rPr>
                <w:sz w:val="15"/>
              </w:rPr>
              <w:t>Revenue concentration; does not by itself establish strongest profitability</w:t>
            </w:r>
          </w:p>
        </w:tc>
      </w:tr>
      <w:tr w:rsidR="00051C16" w14:paraId="2B88916C" w14:textId="77777777">
        <w:trPr>
          <w:jc w:val="center"/>
        </w:trPr>
        <w:tc>
          <w:tcPr>
            <w:tcW w:w="2952" w:type="dxa"/>
            <w:shd w:val="clear" w:color="auto" w:fill="F5F7F9"/>
            <w:vAlign w:val="center"/>
          </w:tcPr>
          <w:p w14:paraId="6C2069F7" w14:textId="77777777" w:rsidR="00051C16" w:rsidRDefault="00000000">
            <w:r>
              <w:rPr>
                <w:b/>
                <w:sz w:val="15"/>
              </w:rPr>
              <w:t>Distributor + Strategic Discount Exposure</w:t>
            </w:r>
          </w:p>
        </w:tc>
        <w:tc>
          <w:tcPr>
            <w:tcW w:w="2736" w:type="dxa"/>
            <w:shd w:val="clear" w:color="auto" w:fill="F5F7F9"/>
            <w:vAlign w:val="center"/>
          </w:tcPr>
          <w:p w14:paraId="328E171A" w14:textId="77777777" w:rsidR="00051C16" w:rsidRDefault="00000000">
            <w:r>
              <w:rPr>
                <w:sz w:val="15"/>
              </w:rPr>
              <w:t>~$510.8K</w:t>
            </w:r>
          </w:p>
        </w:tc>
        <w:tc>
          <w:tcPr>
            <w:tcW w:w="4248" w:type="dxa"/>
            <w:shd w:val="clear" w:color="auto" w:fill="F5F7F9"/>
            <w:vAlign w:val="center"/>
          </w:tcPr>
          <w:p w14:paraId="1019095B" w14:textId="77777777" w:rsidR="00051C16" w:rsidRDefault="00000000">
            <w:r>
              <w:rPr>
                <w:sz w:val="15"/>
              </w:rPr>
              <w:t>Large revenue exposure; not confirmed profit loss</w:t>
            </w:r>
          </w:p>
        </w:tc>
      </w:tr>
      <w:tr w:rsidR="00051C16" w14:paraId="303DD5CF" w14:textId="77777777">
        <w:trPr>
          <w:jc w:val="center"/>
        </w:trPr>
        <w:tc>
          <w:tcPr>
            <w:tcW w:w="2952" w:type="dxa"/>
            <w:vAlign w:val="center"/>
          </w:tcPr>
          <w:p w14:paraId="313F99E7" w14:textId="77777777" w:rsidR="00051C16" w:rsidRDefault="00000000">
            <w:r>
              <w:rPr>
                <w:b/>
                <w:sz w:val="15"/>
              </w:rPr>
              <w:t>Product Cost Overrun</w:t>
            </w:r>
          </w:p>
        </w:tc>
        <w:tc>
          <w:tcPr>
            <w:tcW w:w="2736" w:type="dxa"/>
            <w:vAlign w:val="center"/>
          </w:tcPr>
          <w:p w14:paraId="6FFFF933" w14:textId="77777777" w:rsidR="00051C16" w:rsidRDefault="00000000">
            <w:r>
              <w:rPr>
                <w:sz w:val="15"/>
              </w:rPr>
              <w:t>~$49.5K</w:t>
            </w:r>
          </w:p>
        </w:tc>
        <w:tc>
          <w:tcPr>
            <w:tcW w:w="4248" w:type="dxa"/>
            <w:vAlign w:val="center"/>
          </w:tcPr>
          <w:p w14:paraId="4A0801E7" w14:textId="77777777" w:rsidR="00051C16" w:rsidRDefault="00000000">
            <w:r>
              <w:rPr>
                <w:sz w:val="15"/>
              </w:rPr>
              <w:t>P-SI-004 + P-SI-007 actual-vs-standard overrun; strongest directly benchmarked cost issue</w:t>
            </w:r>
          </w:p>
        </w:tc>
      </w:tr>
      <w:tr w:rsidR="00051C16" w14:paraId="6974D665" w14:textId="77777777">
        <w:trPr>
          <w:jc w:val="center"/>
        </w:trPr>
        <w:tc>
          <w:tcPr>
            <w:tcW w:w="2952" w:type="dxa"/>
            <w:shd w:val="clear" w:color="auto" w:fill="F5F7F9"/>
            <w:vAlign w:val="center"/>
          </w:tcPr>
          <w:p w14:paraId="4F402656" w14:textId="77777777" w:rsidR="00051C16" w:rsidRDefault="00000000">
            <w:r>
              <w:rPr>
                <w:b/>
                <w:sz w:val="15"/>
              </w:rPr>
              <w:t>Software &amp; Analytics Contribution Margin</w:t>
            </w:r>
          </w:p>
        </w:tc>
        <w:tc>
          <w:tcPr>
            <w:tcW w:w="2736" w:type="dxa"/>
            <w:shd w:val="clear" w:color="auto" w:fill="F5F7F9"/>
            <w:vAlign w:val="center"/>
          </w:tcPr>
          <w:p w14:paraId="6B0B9DA9" w14:textId="77777777" w:rsidR="00051C16" w:rsidRDefault="00000000">
            <w:r>
              <w:rPr>
                <w:sz w:val="15"/>
              </w:rPr>
              <w:t>~95.08%</w:t>
            </w:r>
          </w:p>
        </w:tc>
        <w:tc>
          <w:tcPr>
            <w:tcW w:w="4248" w:type="dxa"/>
            <w:shd w:val="clear" w:color="auto" w:fill="F5F7F9"/>
            <w:vAlign w:val="center"/>
          </w:tcPr>
          <w:p w14:paraId="37AC563B" w14:textId="77777777" w:rsidR="00051C16" w:rsidRDefault="00000000">
            <w:r>
              <w:rPr>
                <w:sz w:val="15"/>
              </w:rPr>
              <w:t>Strongest contribution economics identified</w:t>
            </w:r>
          </w:p>
        </w:tc>
      </w:tr>
      <w:tr w:rsidR="00051C16" w14:paraId="48398257" w14:textId="77777777">
        <w:trPr>
          <w:jc w:val="center"/>
        </w:trPr>
        <w:tc>
          <w:tcPr>
            <w:tcW w:w="2952" w:type="dxa"/>
            <w:vAlign w:val="center"/>
          </w:tcPr>
          <w:p w14:paraId="4251CD0A" w14:textId="77777777" w:rsidR="00051C16" w:rsidRDefault="00000000">
            <w:r>
              <w:rPr>
                <w:b/>
                <w:sz w:val="15"/>
              </w:rPr>
              <w:t>Field Services Contribution Margin</w:t>
            </w:r>
          </w:p>
        </w:tc>
        <w:tc>
          <w:tcPr>
            <w:tcW w:w="2736" w:type="dxa"/>
            <w:vAlign w:val="center"/>
          </w:tcPr>
          <w:p w14:paraId="5733C522" w14:textId="77777777" w:rsidR="00051C16" w:rsidRDefault="00000000">
            <w:r>
              <w:rPr>
                <w:sz w:val="15"/>
              </w:rPr>
              <w:t>~37.97%</w:t>
            </w:r>
          </w:p>
        </w:tc>
        <w:tc>
          <w:tcPr>
            <w:tcW w:w="4248" w:type="dxa"/>
            <w:vAlign w:val="center"/>
          </w:tcPr>
          <w:p w14:paraId="781E94A5" w14:textId="77777777" w:rsidR="00051C16" w:rsidRDefault="00000000">
            <w:r>
              <w:rPr>
                <w:sz w:val="15"/>
              </w:rPr>
              <w:t>Lower contribution economics and focus area for investigation</w:t>
            </w:r>
          </w:p>
        </w:tc>
      </w:tr>
      <w:tr w:rsidR="00051C16" w14:paraId="7EA09AD8" w14:textId="77777777">
        <w:trPr>
          <w:jc w:val="center"/>
        </w:trPr>
        <w:tc>
          <w:tcPr>
            <w:tcW w:w="2952" w:type="dxa"/>
            <w:shd w:val="clear" w:color="auto" w:fill="F5F7F9"/>
            <w:vAlign w:val="center"/>
          </w:tcPr>
          <w:p w14:paraId="614A1BF2" w14:textId="77777777" w:rsidR="00051C16" w:rsidRDefault="00000000">
            <w:r>
              <w:rPr>
                <w:b/>
                <w:sz w:val="15"/>
              </w:rPr>
              <w:t>Field Services Illustrative Opportunity</w:t>
            </w:r>
          </w:p>
        </w:tc>
        <w:tc>
          <w:tcPr>
            <w:tcW w:w="2736" w:type="dxa"/>
            <w:shd w:val="clear" w:color="auto" w:fill="F5F7F9"/>
            <w:vAlign w:val="center"/>
          </w:tcPr>
          <w:p w14:paraId="731EF2AB" w14:textId="77777777" w:rsidR="00051C16" w:rsidRDefault="00000000">
            <w:r>
              <w:rPr>
                <w:sz w:val="15"/>
              </w:rPr>
              <w:t>~$44K</w:t>
            </w:r>
          </w:p>
        </w:tc>
        <w:tc>
          <w:tcPr>
            <w:tcW w:w="4248" w:type="dxa"/>
            <w:shd w:val="clear" w:color="auto" w:fill="F5F7F9"/>
            <w:vAlign w:val="center"/>
          </w:tcPr>
          <w:p w14:paraId="05508F93" w14:textId="77777777" w:rsidR="00051C16" w:rsidRDefault="00000000">
            <w:r>
              <w:rPr>
                <w:sz w:val="15"/>
              </w:rPr>
              <w:t>Directional benchmark opportunity, not confirmed realized loss</w:t>
            </w:r>
          </w:p>
        </w:tc>
      </w:tr>
    </w:tbl>
    <w:p w14:paraId="72614342" w14:textId="77777777" w:rsidR="00051C16" w:rsidRDefault="00051C16">
      <w:pPr>
        <w:spacing w:after="20"/>
      </w:pPr>
    </w:p>
    <w:p w14:paraId="185E1F4F" w14:textId="77777777" w:rsidR="00051C16" w:rsidRDefault="00000000">
      <w:r>
        <w:t>The analysis intentionally distinguishes three types of financial impact: (1) measured cost impact supported by an explicit benchmark, (2) revenue exposure where the financial value is visible but recoverability is uncertain, and (3) illustrative improvement opportunity based on a directional benchmark. These amounts should not be added into a single loss figure.</w:t>
      </w:r>
    </w:p>
    <w:p w14:paraId="367846D1" w14:textId="77777777" w:rsidR="000752E9" w:rsidRDefault="000752E9"/>
    <w:p w14:paraId="4E9B9514" w14:textId="77777777" w:rsidR="000752E9" w:rsidRDefault="000752E9"/>
    <w:p w14:paraId="0B54026C" w14:textId="77777777" w:rsidR="000752E9" w:rsidRDefault="000752E9"/>
    <w:p w14:paraId="276DDA9C" w14:textId="77777777" w:rsidR="000752E9" w:rsidRDefault="000752E9"/>
    <w:p w14:paraId="096BB98E" w14:textId="77777777" w:rsidR="000752E9" w:rsidRDefault="000752E9"/>
    <w:p w14:paraId="767C3FDA" w14:textId="77777777" w:rsidR="000752E9" w:rsidRDefault="000752E9"/>
    <w:p w14:paraId="032327E1" w14:textId="77777777" w:rsidR="000752E9" w:rsidRDefault="000752E9"/>
    <w:p w14:paraId="63779F4C" w14:textId="77777777" w:rsidR="000752E9" w:rsidRDefault="000752E9"/>
    <w:p w14:paraId="1A1A617B" w14:textId="77777777" w:rsidR="000752E9" w:rsidRDefault="000752E9"/>
    <w:p w14:paraId="6E735A87" w14:textId="77777777" w:rsidR="000752E9" w:rsidRDefault="000752E9"/>
    <w:p w14:paraId="685F5BAD" w14:textId="77777777" w:rsidR="000752E9" w:rsidRDefault="000752E9"/>
    <w:p w14:paraId="7C07008F" w14:textId="77777777" w:rsidR="000752E9" w:rsidRDefault="000752E9"/>
    <w:p w14:paraId="1C0C2683" w14:textId="77777777" w:rsidR="000752E9" w:rsidRDefault="000752E9"/>
    <w:p w14:paraId="1AA22DBD" w14:textId="77777777" w:rsidR="000752E9" w:rsidRDefault="000752E9"/>
    <w:p w14:paraId="47E16E16" w14:textId="77777777" w:rsidR="000752E9" w:rsidRDefault="000752E9"/>
    <w:p w14:paraId="43594799" w14:textId="77777777" w:rsidR="000752E9" w:rsidRDefault="000752E9"/>
    <w:p w14:paraId="6DE3D590" w14:textId="77777777" w:rsidR="00051C16" w:rsidRDefault="00000000">
      <w:pPr>
        <w:pStyle w:val="Heading2"/>
      </w:pPr>
      <w:r>
        <w:lastRenderedPageBreak/>
        <w:t>9 Workstream Conclusions</w:t>
      </w:r>
    </w:p>
    <w:tbl>
      <w:tblPr>
        <w:tblStyle w:val="TableGrid"/>
        <w:tblW w:w="0" w:type="auto"/>
        <w:jc w:val="center"/>
        <w:tblLook w:val="04A0" w:firstRow="1" w:lastRow="0" w:firstColumn="1" w:lastColumn="0" w:noHBand="0" w:noVBand="1"/>
      </w:tblPr>
      <w:tblGrid>
        <w:gridCol w:w="2232"/>
        <w:gridCol w:w="6552"/>
        <w:gridCol w:w="1584"/>
      </w:tblGrid>
      <w:tr w:rsidR="00051C16" w14:paraId="35E6F88C" w14:textId="77777777">
        <w:trPr>
          <w:tblHeader/>
          <w:jc w:val="center"/>
        </w:trPr>
        <w:tc>
          <w:tcPr>
            <w:tcW w:w="2232" w:type="dxa"/>
            <w:shd w:val="clear" w:color="auto" w:fill="1F4E6E"/>
            <w:vAlign w:val="center"/>
          </w:tcPr>
          <w:p w14:paraId="5884FA89" w14:textId="77777777" w:rsidR="00051C16" w:rsidRDefault="00000000">
            <w:pPr>
              <w:jc w:val="center"/>
            </w:pPr>
            <w:r>
              <w:rPr>
                <w:b/>
                <w:color w:val="FFFFFF"/>
                <w:sz w:val="16"/>
              </w:rPr>
              <w:t>Workstream</w:t>
            </w:r>
          </w:p>
        </w:tc>
        <w:tc>
          <w:tcPr>
            <w:tcW w:w="6552" w:type="dxa"/>
            <w:shd w:val="clear" w:color="auto" w:fill="1F4E6E"/>
            <w:vAlign w:val="center"/>
          </w:tcPr>
          <w:p w14:paraId="008C321D" w14:textId="77777777" w:rsidR="00051C16" w:rsidRDefault="00000000">
            <w:pPr>
              <w:jc w:val="center"/>
            </w:pPr>
            <w:r>
              <w:rPr>
                <w:b/>
                <w:color w:val="FFFFFF"/>
                <w:sz w:val="16"/>
              </w:rPr>
              <w:t>Conclusion</w:t>
            </w:r>
          </w:p>
        </w:tc>
        <w:tc>
          <w:tcPr>
            <w:tcW w:w="1584" w:type="dxa"/>
            <w:shd w:val="clear" w:color="auto" w:fill="1F4E6E"/>
            <w:vAlign w:val="center"/>
          </w:tcPr>
          <w:p w14:paraId="1D6B3BEF" w14:textId="77777777" w:rsidR="00051C16" w:rsidRDefault="00000000">
            <w:pPr>
              <w:jc w:val="center"/>
            </w:pPr>
            <w:r>
              <w:rPr>
                <w:b/>
                <w:color w:val="FFFFFF"/>
                <w:sz w:val="16"/>
              </w:rPr>
              <w:t>Evidence strength</w:t>
            </w:r>
          </w:p>
        </w:tc>
      </w:tr>
      <w:tr w:rsidR="00051C16" w14:paraId="29047150" w14:textId="77777777">
        <w:trPr>
          <w:jc w:val="center"/>
        </w:trPr>
        <w:tc>
          <w:tcPr>
            <w:tcW w:w="2232" w:type="dxa"/>
            <w:vAlign w:val="center"/>
          </w:tcPr>
          <w:p w14:paraId="78D9E517" w14:textId="77777777" w:rsidR="00051C16" w:rsidRDefault="00000000">
            <w:r>
              <w:rPr>
                <w:b/>
                <w:sz w:val="15"/>
              </w:rPr>
              <w:t>1. Data Quality &amp; Reporting Readiness</w:t>
            </w:r>
          </w:p>
        </w:tc>
        <w:tc>
          <w:tcPr>
            <w:tcW w:w="6552" w:type="dxa"/>
            <w:vAlign w:val="center"/>
          </w:tcPr>
          <w:p w14:paraId="5A369DC9" w14:textId="77777777" w:rsidR="00051C16" w:rsidRDefault="00000000">
            <w:r>
              <w:rPr>
                <w:sz w:val="15"/>
              </w:rPr>
              <w:t>Data was made sufficiently reliable for structured financial analysis, but residual data risks remain. Material exceptions required explicit treatment and documentation.</w:t>
            </w:r>
          </w:p>
        </w:tc>
        <w:tc>
          <w:tcPr>
            <w:tcW w:w="1584" w:type="dxa"/>
            <w:vAlign w:val="center"/>
          </w:tcPr>
          <w:p w14:paraId="7C5020BA" w14:textId="77777777" w:rsidR="00051C16" w:rsidRDefault="00000000">
            <w:r>
              <w:rPr>
                <w:sz w:val="15"/>
              </w:rPr>
              <w:t>High for documented treatments; residual risk remains</w:t>
            </w:r>
          </w:p>
        </w:tc>
      </w:tr>
      <w:tr w:rsidR="00051C16" w14:paraId="5F7F8B9C" w14:textId="77777777">
        <w:trPr>
          <w:jc w:val="center"/>
        </w:trPr>
        <w:tc>
          <w:tcPr>
            <w:tcW w:w="2232" w:type="dxa"/>
            <w:shd w:val="clear" w:color="auto" w:fill="F5F7F9"/>
            <w:vAlign w:val="center"/>
          </w:tcPr>
          <w:p w14:paraId="2A7BD9B7" w14:textId="77777777" w:rsidR="00051C16" w:rsidRDefault="00000000">
            <w:r>
              <w:rPr>
                <w:b/>
                <w:sz w:val="15"/>
              </w:rPr>
              <w:t>2. Revenue Performance</w:t>
            </w:r>
          </w:p>
        </w:tc>
        <w:tc>
          <w:tcPr>
            <w:tcW w:w="6552" w:type="dxa"/>
            <w:shd w:val="clear" w:color="auto" w:fill="F5F7F9"/>
            <w:vAlign w:val="center"/>
          </w:tcPr>
          <w:p w14:paraId="6C5BF82D" w14:textId="77777777" w:rsidR="00051C16" w:rsidRDefault="00000000">
            <w:r>
              <w:rPr>
                <w:sz w:val="15"/>
              </w:rPr>
              <w:t>H1 revenue was concentrated in Sensors &amp; Instruments; high revenue did not automatically imply stronger profitability. Mix quality matters.</w:t>
            </w:r>
          </w:p>
        </w:tc>
        <w:tc>
          <w:tcPr>
            <w:tcW w:w="1584" w:type="dxa"/>
            <w:shd w:val="clear" w:color="auto" w:fill="F5F7F9"/>
            <w:vAlign w:val="center"/>
          </w:tcPr>
          <w:p w14:paraId="1F4CC71E" w14:textId="77777777" w:rsidR="00051C16" w:rsidRDefault="00000000">
            <w:r>
              <w:rPr>
                <w:sz w:val="15"/>
              </w:rPr>
              <w:t>High for revenue totals and concentration</w:t>
            </w:r>
          </w:p>
        </w:tc>
      </w:tr>
      <w:tr w:rsidR="00051C16" w14:paraId="2A3B222F" w14:textId="77777777">
        <w:trPr>
          <w:jc w:val="center"/>
        </w:trPr>
        <w:tc>
          <w:tcPr>
            <w:tcW w:w="2232" w:type="dxa"/>
            <w:vAlign w:val="center"/>
          </w:tcPr>
          <w:p w14:paraId="3B1BC4FA" w14:textId="77777777" w:rsidR="00051C16" w:rsidRDefault="00000000">
            <w:r>
              <w:rPr>
                <w:b/>
                <w:sz w:val="15"/>
              </w:rPr>
              <w:t>3. Discount &amp; Pricing Realization</w:t>
            </w:r>
          </w:p>
        </w:tc>
        <w:tc>
          <w:tcPr>
            <w:tcW w:w="6552" w:type="dxa"/>
            <w:vAlign w:val="center"/>
          </w:tcPr>
          <w:p w14:paraId="3360747A" w14:textId="77777777" w:rsidR="00051C16" w:rsidRDefault="00000000">
            <w:r>
              <w:rPr>
                <w:sz w:val="15"/>
              </w:rPr>
              <w:t>Discounting created material revenue exposure, especially across Distributor and Strategic sales. The exposure is not equivalent to confirmed profit loss.</w:t>
            </w:r>
          </w:p>
        </w:tc>
        <w:tc>
          <w:tcPr>
            <w:tcW w:w="1584" w:type="dxa"/>
            <w:vAlign w:val="center"/>
          </w:tcPr>
          <w:p w14:paraId="16613501" w14:textId="77777777" w:rsidR="00051C16" w:rsidRDefault="00000000">
            <w:r>
              <w:rPr>
                <w:sz w:val="15"/>
              </w:rPr>
              <w:t>High for exposure; limited for "excess" discounting</w:t>
            </w:r>
          </w:p>
        </w:tc>
      </w:tr>
      <w:tr w:rsidR="00051C16" w14:paraId="5A542B63" w14:textId="77777777">
        <w:trPr>
          <w:jc w:val="center"/>
        </w:trPr>
        <w:tc>
          <w:tcPr>
            <w:tcW w:w="2232" w:type="dxa"/>
            <w:shd w:val="clear" w:color="auto" w:fill="F5F7F9"/>
            <w:vAlign w:val="center"/>
          </w:tcPr>
          <w:p w14:paraId="399B2F1B" w14:textId="77777777" w:rsidR="00051C16" w:rsidRDefault="00000000">
            <w:r>
              <w:rPr>
                <w:b/>
                <w:sz w:val="15"/>
              </w:rPr>
              <w:t>4. Cost Structure &amp; Cost Pressure</w:t>
            </w:r>
          </w:p>
        </w:tc>
        <w:tc>
          <w:tcPr>
            <w:tcW w:w="6552" w:type="dxa"/>
            <w:shd w:val="clear" w:color="auto" w:fill="F5F7F9"/>
            <w:vAlign w:val="center"/>
          </w:tcPr>
          <w:p w14:paraId="116AE3F8" w14:textId="77777777" w:rsidR="00051C16" w:rsidRDefault="00000000">
            <w:r>
              <w:rPr>
                <w:sz w:val="15"/>
              </w:rPr>
              <w:t>P-SI-004 and P-SI-007 showed ~ $49.5K of combined actual-vs-standard cost overrun, the strongest directly benchmarked cost issue.</w:t>
            </w:r>
          </w:p>
        </w:tc>
        <w:tc>
          <w:tcPr>
            <w:tcW w:w="1584" w:type="dxa"/>
            <w:shd w:val="clear" w:color="auto" w:fill="F5F7F9"/>
            <w:vAlign w:val="center"/>
          </w:tcPr>
          <w:p w14:paraId="4CB86DAC" w14:textId="77777777" w:rsidR="00051C16" w:rsidRDefault="00000000">
            <w:r>
              <w:rPr>
                <w:sz w:val="15"/>
              </w:rPr>
              <w:t>High</w:t>
            </w:r>
          </w:p>
        </w:tc>
      </w:tr>
      <w:tr w:rsidR="00051C16" w14:paraId="0D2B05D4" w14:textId="77777777">
        <w:trPr>
          <w:jc w:val="center"/>
        </w:trPr>
        <w:tc>
          <w:tcPr>
            <w:tcW w:w="2232" w:type="dxa"/>
            <w:vAlign w:val="center"/>
          </w:tcPr>
          <w:p w14:paraId="6A114EE0" w14:textId="77777777" w:rsidR="00051C16" w:rsidRDefault="00000000">
            <w:r>
              <w:rPr>
                <w:b/>
                <w:sz w:val="15"/>
              </w:rPr>
              <w:t>5. Profitability &amp; Margin Analysis</w:t>
            </w:r>
          </w:p>
        </w:tc>
        <w:tc>
          <w:tcPr>
            <w:tcW w:w="6552" w:type="dxa"/>
            <w:vAlign w:val="center"/>
          </w:tcPr>
          <w:p w14:paraId="350BE661" w14:textId="77777777" w:rsidR="00051C16" w:rsidRDefault="00000000">
            <w:r>
              <w:rPr>
                <w:sz w:val="15"/>
              </w:rPr>
              <w:t>Software &amp; Analytics showed ~95.08% contribution margin; Field Services ~37.97%, indicating a meaningful economics gap across BUs.</w:t>
            </w:r>
          </w:p>
        </w:tc>
        <w:tc>
          <w:tcPr>
            <w:tcW w:w="1584" w:type="dxa"/>
            <w:vAlign w:val="center"/>
          </w:tcPr>
          <w:p w14:paraId="2491EC82" w14:textId="77777777" w:rsidR="00051C16" w:rsidRDefault="00000000">
            <w:r>
              <w:rPr>
                <w:sz w:val="15"/>
              </w:rPr>
              <w:t>High for contribution analysis; limited for fully allocated operating profit</w:t>
            </w:r>
          </w:p>
        </w:tc>
      </w:tr>
      <w:tr w:rsidR="00051C16" w14:paraId="14BCE361" w14:textId="77777777">
        <w:trPr>
          <w:jc w:val="center"/>
        </w:trPr>
        <w:tc>
          <w:tcPr>
            <w:tcW w:w="2232" w:type="dxa"/>
            <w:shd w:val="clear" w:color="auto" w:fill="F5F7F9"/>
            <w:vAlign w:val="center"/>
          </w:tcPr>
          <w:p w14:paraId="468B5E3F" w14:textId="77777777" w:rsidR="00051C16" w:rsidRDefault="00000000">
            <w:r>
              <w:rPr>
                <w:b/>
                <w:sz w:val="15"/>
              </w:rPr>
              <w:t>6. Budget Variance Analysis</w:t>
            </w:r>
          </w:p>
        </w:tc>
        <w:tc>
          <w:tcPr>
            <w:tcW w:w="6552" w:type="dxa"/>
            <w:shd w:val="clear" w:color="auto" w:fill="F5F7F9"/>
            <w:vAlign w:val="center"/>
          </w:tcPr>
          <w:p w14:paraId="6BAB749F" w14:textId="77777777" w:rsidR="00051C16" w:rsidRDefault="00000000">
            <w:r>
              <w:rPr>
                <w:sz w:val="15"/>
              </w:rPr>
              <w:t>Budget variance analysis was performed, but comparability/data-quality limitations prevented it from serving as the primary explanation of the profitability gap.</w:t>
            </w:r>
          </w:p>
        </w:tc>
        <w:tc>
          <w:tcPr>
            <w:tcW w:w="1584" w:type="dxa"/>
            <w:shd w:val="clear" w:color="auto" w:fill="F5F7F9"/>
            <w:vAlign w:val="center"/>
          </w:tcPr>
          <w:p w14:paraId="2BA5DA85" w14:textId="77777777" w:rsidR="00051C16" w:rsidRDefault="00000000">
            <w:r>
              <w:rPr>
                <w:sz w:val="15"/>
              </w:rPr>
              <w:t>Limited / subject to validation</w:t>
            </w:r>
          </w:p>
        </w:tc>
      </w:tr>
      <w:tr w:rsidR="00051C16" w14:paraId="5142E12E" w14:textId="77777777">
        <w:trPr>
          <w:jc w:val="center"/>
        </w:trPr>
        <w:tc>
          <w:tcPr>
            <w:tcW w:w="2232" w:type="dxa"/>
            <w:vAlign w:val="center"/>
          </w:tcPr>
          <w:p w14:paraId="2D6BC985" w14:textId="77777777" w:rsidR="00051C16" w:rsidRDefault="00000000">
            <w:r>
              <w:rPr>
                <w:b/>
                <w:sz w:val="15"/>
              </w:rPr>
              <w:t>7. Driver Investigation &amp; Anomaly Review</w:t>
            </w:r>
          </w:p>
        </w:tc>
        <w:tc>
          <w:tcPr>
            <w:tcW w:w="6552" w:type="dxa"/>
            <w:vAlign w:val="center"/>
          </w:tcPr>
          <w:p w14:paraId="1B1EBF85" w14:textId="77777777" w:rsidR="00051C16" w:rsidRDefault="00000000">
            <w:r>
              <w:rPr>
                <w:sz w:val="15"/>
              </w:rPr>
              <w:t>The gap is multi-factor: discounting, product cost pressure, BU economics, and mix effects interact; anomalies required business judgment rather than blind deletion.</w:t>
            </w:r>
          </w:p>
        </w:tc>
        <w:tc>
          <w:tcPr>
            <w:tcW w:w="1584" w:type="dxa"/>
            <w:vAlign w:val="center"/>
          </w:tcPr>
          <w:p w14:paraId="05A620BF" w14:textId="77777777" w:rsidR="00051C16" w:rsidRDefault="00000000">
            <w:r>
              <w:rPr>
                <w:sz w:val="15"/>
              </w:rPr>
              <w:t>High for integrated diagnosis</w:t>
            </w:r>
          </w:p>
        </w:tc>
      </w:tr>
      <w:tr w:rsidR="00051C16" w14:paraId="4D8CF50A" w14:textId="77777777">
        <w:trPr>
          <w:jc w:val="center"/>
        </w:trPr>
        <w:tc>
          <w:tcPr>
            <w:tcW w:w="2232" w:type="dxa"/>
            <w:shd w:val="clear" w:color="auto" w:fill="F5F7F9"/>
            <w:vAlign w:val="center"/>
          </w:tcPr>
          <w:p w14:paraId="0DC5787B" w14:textId="77777777" w:rsidR="00051C16" w:rsidRDefault="00000000">
            <w:r>
              <w:rPr>
                <w:b/>
                <w:sz w:val="15"/>
              </w:rPr>
              <w:t>8. Financial Impact &amp; Prioritization</w:t>
            </w:r>
          </w:p>
        </w:tc>
        <w:tc>
          <w:tcPr>
            <w:tcW w:w="6552" w:type="dxa"/>
            <w:shd w:val="clear" w:color="auto" w:fill="F5F7F9"/>
            <w:vAlign w:val="center"/>
          </w:tcPr>
          <w:p w14:paraId="6BABC732" w14:textId="77777777" w:rsidR="00051C16" w:rsidRDefault="00000000">
            <w:r>
              <w:rPr>
                <w:sz w:val="15"/>
              </w:rPr>
              <w:t>Largest quantified amount was ~ $510.8K discount exposure; strongest directly benchmarked cost issue was ~ $49.5K; Field Services opportunity ~ $44K was directional.</w:t>
            </w:r>
          </w:p>
        </w:tc>
        <w:tc>
          <w:tcPr>
            <w:tcW w:w="1584" w:type="dxa"/>
            <w:shd w:val="clear" w:color="auto" w:fill="F5F7F9"/>
            <w:vAlign w:val="center"/>
          </w:tcPr>
          <w:p w14:paraId="3805B211" w14:textId="77777777" w:rsidR="00051C16" w:rsidRDefault="00000000">
            <w:r>
              <w:rPr>
                <w:sz w:val="15"/>
              </w:rPr>
              <w:t>High, with differing interpretation by item</w:t>
            </w:r>
          </w:p>
        </w:tc>
      </w:tr>
      <w:tr w:rsidR="00051C16" w14:paraId="42412120" w14:textId="77777777">
        <w:trPr>
          <w:jc w:val="center"/>
        </w:trPr>
        <w:tc>
          <w:tcPr>
            <w:tcW w:w="2232" w:type="dxa"/>
            <w:vAlign w:val="center"/>
          </w:tcPr>
          <w:p w14:paraId="33A169AF" w14:textId="77777777" w:rsidR="00051C16" w:rsidRDefault="00000000">
            <w:r>
              <w:rPr>
                <w:b/>
                <w:sz w:val="15"/>
              </w:rPr>
              <w:t>9. Management Recommendations</w:t>
            </w:r>
          </w:p>
        </w:tc>
        <w:tc>
          <w:tcPr>
            <w:tcW w:w="6552" w:type="dxa"/>
            <w:vAlign w:val="center"/>
          </w:tcPr>
          <w:p w14:paraId="52602B60" w14:textId="77777777" w:rsidR="00051C16" w:rsidRDefault="00000000">
            <w:r>
              <w:rPr>
                <w:sz w:val="15"/>
              </w:rPr>
              <w:t>Priority actions are discount governance, product cost investigation, protection/expansion of high-margin software, Field Services economics review, and stronger data controls.</w:t>
            </w:r>
          </w:p>
        </w:tc>
        <w:tc>
          <w:tcPr>
            <w:tcW w:w="1584" w:type="dxa"/>
            <w:vAlign w:val="center"/>
          </w:tcPr>
          <w:p w14:paraId="4E6CE2AF" w14:textId="77777777" w:rsidR="00051C16" w:rsidRDefault="00000000">
            <w:r>
              <w:rPr>
                <w:sz w:val="15"/>
              </w:rPr>
              <w:t>High for action framing</w:t>
            </w:r>
          </w:p>
        </w:tc>
      </w:tr>
    </w:tbl>
    <w:p w14:paraId="57A0A263" w14:textId="77777777" w:rsidR="00051C16" w:rsidRDefault="00051C16">
      <w:pPr>
        <w:spacing w:after="20"/>
      </w:pPr>
    </w:p>
    <w:p w14:paraId="4882A108" w14:textId="77777777" w:rsidR="00051C16" w:rsidRDefault="00000000">
      <w:r>
        <w:br w:type="page"/>
      </w:r>
    </w:p>
    <w:p w14:paraId="56688D6A" w14:textId="77777777" w:rsidR="00051C16" w:rsidRDefault="00000000">
      <w:pPr>
        <w:pStyle w:val="Heading1"/>
      </w:pPr>
      <w:r>
        <w:lastRenderedPageBreak/>
        <w:t>2. Business Context &amp; Decision Setting</w:t>
      </w:r>
    </w:p>
    <w:p w14:paraId="04060FBA" w14:textId="77777777" w:rsidR="00051C16" w:rsidRDefault="00000000">
      <w:pPr>
        <w:pStyle w:val="Heading2"/>
      </w:pPr>
      <w:r>
        <w:t>2.1 Company Context</w:t>
      </w:r>
    </w:p>
    <w:p w14:paraId="7795FB7A" w14:textId="77777777" w:rsidR="00051C16" w:rsidRDefault="00000000">
      <w:r>
        <w:t>Aether Precision Systems (APS) is a mid-sized industrial technology company headquartered in the United States, with commercial operations across North America, EMEA, APAC, and Latin America. The company designs, manufactures, and sells precision measurement instruments, condition-monitoring sensors, analytics software, and related field services.</w:t>
      </w:r>
    </w:p>
    <w:tbl>
      <w:tblPr>
        <w:tblStyle w:val="TableGrid"/>
        <w:tblW w:w="0" w:type="auto"/>
        <w:jc w:val="center"/>
        <w:tblLook w:val="04A0" w:firstRow="1" w:lastRow="0" w:firstColumn="1" w:lastColumn="0" w:noHBand="0" w:noVBand="1"/>
      </w:tblPr>
      <w:tblGrid>
        <w:gridCol w:w="2304"/>
        <w:gridCol w:w="4320"/>
        <w:gridCol w:w="2448"/>
      </w:tblGrid>
      <w:tr w:rsidR="00051C16" w14:paraId="4D6DDD5B" w14:textId="77777777">
        <w:trPr>
          <w:tblHeader/>
          <w:jc w:val="center"/>
        </w:trPr>
        <w:tc>
          <w:tcPr>
            <w:tcW w:w="2304" w:type="dxa"/>
            <w:shd w:val="clear" w:color="auto" w:fill="1F4E6E"/>
            <w:vAlign w:val="center"/>
          </w:tcPr>
          <w:p w14:paraId="4FDD7E44" w14:textId="77777777" w:rsidR="00051C16" w:rsidRDefault="00000000">
            <w:pPr>
              <w:jc w:val="center"/>
            </w:pPr>
            <w:r>
              <w:rPr>
                <w:b/>
                <w:color w:val="FFFFFF"/>
                <w:sz w:val="16"/>
              </w:rPr>
              <w:t>Business Unit</w:t>
            </w:r>
          </w:p>
        </w:tc>
        <w:tc>
          <w:tcPr>
            <w:tcW w:w="4320" w:type="dxa"/>
            <w:shd w:val="clear" w:color="auto" w:fill="1F4E6E"/>
            <w:vAlign w:val="center"/>
          </w:tcPr>
          <w:p w14:paraId="7F41D5C9" w14:textId="77777777" w:rsidR="00051C16" w:rsidRDefault="00000000">
            <w:pPr>
              <w:jc w:val="center"/>
            </w:pPr>
            <w:r>
              <w:rPr>
                <w:b/>
                <w:color w:val="FFFFFF"/>
                <w:sz w:val="16"/>
              </w:rPr>
              <w:t>Description</w:t>
            </w:r>
          </w:p>
        </w:tc>
        <w:tc>
          <w:tcPr>
            <w:tcW w:w="2448" w:type="dxa"/>
            <w:shd w:val="clear" w:color="auto" w:fill="1F4E6E"/>
            <w:vAlign w:val="center"/>
          </w:tcPr>
          <w:p w14:paraId="1BB36D1E" w14:textId="77777777" w:rsidR="00051C16" w:rsidRDefault="00000000">
            <w:pPr>
              <w:jc w:val="center"/>
            </w:pPr>
            <w:r>
              <w:rPr>
                <w:b/>
                <w:color w:val="FFFFFF"/>
                <w:sz w:val="16"/>
              </w:rPr>
              <w:t>Analytical relevance</w:t>
            </w:r>
          </w:p>
        </w:tc>
      </w:tr>
      <w:tr w:rsidR="00051C16" w14:paraId="5694E0A1" w14:textId="77777777">
        <w:trPr>
          <w:jc w:val="center"/>
        </w:trPr>
        <w:tc>
          <w:tcPr>
            <w:tcW w:w="2304" w:type="dxa"/>
            <w:vAlign w:val="center"/>
          </w:tcPr>
          <w:p w14:paraId="0AD1D483" w14:textId="77777777" w:rsidR="00051C16" w:rsidRDefault="00000000">
            <w:r>
              <w:rPr>
                <w:b/>
                <w:sz w:val="15"/>
              </w:rPr>
              <w:t>Sensors &amp; Instruments</w:t>
            </w:r>
          </w:p>
        </w:tc>
        <w:tc>
          <w:tcPr>
            <w:tcW w:w="4320" w:type="dxa"/>
            <w:vAlign w:val="center"/>
          </w:tcPr>
          <w:p w14:paraId="2ED26102" w14:textId="77777777" w:rsidR="00051C16" w:rsidRDefault="00000000">
            <w:r>
              <w:rPr>
                <w:sz w:val="15"/>
              </w:rPr>
              <w:t>Hardware sensors and portable/fixed analyzers.</w:t>
            </w:r>
          </w:p>
        </w:tc>
        <w:tc>
          <w:tcPr>
            <w:tcW w:w="2448" w:type="dxa"/>
            <w:vAlign w:val="center"/>
          </w:tcPr>
          <w:p w14:paraId="57E06523" w14:textId="77777777" w:rsidR="00051C16" w:rsidRDefault="00000000">
            <w:r>
              <w:rPr>
                <w:sz w:val="15"/>
              </w:rPr>
              <w:t>Primary revenue engine; concentration requires mix and margin review.</w:t>
            </w:r>
          </w:p>
        </w:tc>
      </w:tr>
      <w:tr w:rsidR="00051C16" w14:paraId="6F281B47" w14:textId="77777777">
        <w:trPr>
          <w:jc w:val="center"/>
        </w:trPr>
        <w:tc>
          <w:tcPr>
            <w:tcW w:w="2304" w:type="dxa"/>
            <w:shd w:val="clear" w:color="auto" w:fill="F5F7F9"/>
            <w:vAlign w:val="center"/>
          </w:tcPr>
          <w:p w14:paraId="287A766D" w14:textId="77777777" w:rsidR="00051C16" w:rsidRDefault="00000000">
            <w:r>
              <w:rPr>
                <w:b/>
                <w:sz w:val="15"/>
              </w:rPr>
              <w:t>Software &amp; Analytics</w:t>
            </w:r>
          </w:p>
        </w:tc>
        <w:tc>
          <w:tcPr>
            <w:tcW w:w="4320" w:type="dxa"/>
            <w:shd w:val="clear" w:color="auto" w:fill="F5F7F9"/>
            <w:vAlign w:val="center"/>
          </w:tcPr>
          <w:p w14:paraId="7D1E09B0" w14:textId="77777777" w:rsidR="00051C16" w:rsidRDefault="00000000">
            <w:r>
              <w:rPr>
                <w:sz w:val="15"/>
              </w:rPr>
              <w:t>Analytics platforms, predictive modules, dashboards, and API integrations.</w:t>
            </w:r>
          </w:p>
        </w:tc>
        <w:tc>
          <w:tcPr>
            <w:tcW w:w="2448" w:type="dxa"/>
            <w:shd w:val="clear" w:color="auto" w:fill="F5F7F9"/>
            <w:vAlign w:val="center"/>
          </w:tcPr>
          <w:p w14:paraId="046699D4" w14:textId="77777777" w:rsidR="00051C16" w:rsidRDefault="00000000">
            <w:r>
              <w:rPr>
                <w:sz w:val="15"/>
              </w:rPr>
              <w:t>High-margin value-creation area.</w:t>
            </w:r>
          </w:p>
        </w:tc>
      </w:tr>
      <w:tr w:rsidR="00051C16" w14:paraId="5C5F8430" w14:textId="77777777">
        <w:trPr>
          <w:jc w:val="center"/>
        </w:trPr>
        <w:tc>
          <w:tcPr>
            <w:tcW w:w="2304" w:type="dxa"/>
            <w:vAlign w:val="center"/>
          </w:tcPr>
          <w:p w14:paraId="70AB54A6" w14:textId="77777777" w:rsidR="00051C16" w:rsidRDefault="00000000">
            <w:r>
              <w:rPr>
                <w:b/>
                <w:sz w:val="15"/>
              </w:rPr>
              <w:t>Field Services</w:t>
            </w:r>
          </w:p>
        </w:tc>
        <w:tc>
          <w:tcPr>
            <w:tcW w:w="4320" w:type="dxa"/>
            <w:vAlign w:val="center"/>
          </w:tcPr>
          <w:p w14:paraId="77DB46D5" w14:textId="77777777" w:rsidR="00051C16" w:rsidRDefault="00000000">
            <w:r>
              <w:rPr>
                <w:sz w:val="15"/>
              </w:rPr>
              <w:t>Commissioning, calibration, maintenance, emergency response, training.</w:t>
            </w:r>
          </w:p>
        </w:tc>
        <w:tc>
          <w:tcPr>
            <w:tcW w:w="2448" w:type="dxa"/>
            <w:vAlign w:val="center"/>
          </w:tcPr>
          <w:p w14:paraId="32395430" w14:textId="77777777" w:rsidR="00051C16" w:rsidRDefault="00000000">
            <w:r>
              <w:rPr>
                <w:sz w:val="15"/>
              </w:rPr>
              <w:t>Labor-intensive economics; lower contribution margin identified.</w:t>
            </w:r>
          </w:p>
        </w:tc>
      </w:tr>
    </w:tbl>
    <w:p w14:paraId="575EFB9B" w14:textId="77777777" w:rsidR="00051C16" w:rsidRDefault="00051C16">
      <w:pPr>
        <w:spacing w:after="20"/>
      </w:pPr>
    </w:p>
    <w:p w14:paraId="71E73ECD" w14:textId="77777777" w:rsidR="00051C16" w:rsidRDefault="00000000">
      <w:r>
        <w:t>APS sells through direct sales, industrial distributors, and a partner portal, serving customer segments including Manufacturing, Energy &amp; Utilities, Process Industries, Aerospace &amp; Defense, and Research &amp; Labs. Customer types include Strategic, Key Account, Standard, and Emerging.</w:t>
      </w:r>
    </w:p>
    <w:p w14:paraId="4F6121FA" w14:textId="77777777" w:rsidR="00051C16" w:rsidRDefault="00000000">
      <w:pPr>
        <w:pStyle w:val="Heading2"/>
      </w:pPr>
      <w:r>
        <w:t>2.2 Decision Context</w:t>
      </w:r>
    </w:p>
    <w:p w14:paraId="5C61560D" w14:textId="77777777" w:rsidR="00051C16" w:rsidRDefault="00000000">
      <w:r>
        <w:t>Management had a clear top-line growth narrative but was concerned that profitability and margins were not improving at the same pace. The analysis therefore focused on the quality of growth rather than revenue volume alone.</w:t>
      </w:r>
    </w:p>
    <w:p w14:paraId="1D2F0F96" w14:textId="77777777" w:rsidR="00051C16" w:rsidRDefault="00000000">
      <w:pPr>
        <w:pStyle w:val="ListBullet"/>
        <w:spacing w:after="40"/>
        <w:ind w:left="317" w:hanging="173"/>
      </w:pPr>
      <w:r>
        <w:t>CFO: overall profitability, quality of growth, and board narrative.</w:t>
      </w:r>
    </w:p>
    <w:p w14:paraId="31759F52" w14:textId="77777777" w:rsidR="00051C16" w:rsidRDefault="00000000">
      <w:pPr>
        <w:pStyle w:val="ListBullet"/>
        <w:spacing w:after="40"/>
        <w:ind w:left="317" w:hanging="173"/>
      </w:pPr>
      <w:r>
        <w:t>Head of FP&amp;A / VP Finance: credible diagnosis, analytical quality, and decision support.</w:t>
      </w:r>
    </w:p>
    <w:p w14:paraId="086DDE9D" w14:textId="77777777" w:rsidR="00051C16" w:rsidRDefault="00000000">
      <w:pPr>
        <w:pStyle w:val="ListBullet"/>
        <w:spacing w:after="40"/>
        <w:ind w:left="317" w:hanging="173"/>
      </w:pPr>
      <w:r>
        <w:t>Business Unit leaders: performance, resource allocation, pricing, and cost actions.</w:t>
      </w:r>
    </w:p>
    <w:p w14:paraId="7A01EDFF" w14:textId="77777777" w:rsidR="00051C16" w:rsidRDefault="00000000">
      <w:pPr>
        <w:pStyle w:val="ListBullet"/>
        <w:spacing w:after="40"/>
        <w:ind w:left="317" w:hanging="173"/>
      </w:pPr>
      <w:r>
        <w:t>Regional Sales leadership: discounting, channel mix, and regional performance.</w:t>
      </w:r>
    </w:p>
    <w:p w14:paraId="37143BFC" w14:textId="77777777" w:rsidR="00051C16" w:rsidRDefault="00000000">
      <w:pPr>
        <w:pStyle w:val="ListBullet"/>
        <w:spacing w:after="40"/>
        <w:ind w:left="317" w:hanging="173"/>
      </w:pPr>
      <w:r>
        <w:t>Product Management: product economics and cost pressure.</w:t>
      </w:r>
    </w:p>
    <w:p w14:paraId="1E4DFF33" w14:textId="77777777" w:rsidR="00051C16" w:rsidRDefault="00000000">
      <w:pPr>
        <w:pStyle w:val="ListBullet"/>
        <w:spacing w:after="40"/>
        <w:ind w:left="317" w:hanging="173"/>
      </w:pPr>
      <w:r>
        <w:t>Board: assurance that growth is value-accretive.</w:t>
      </w:r>
    </w:p>
    <w:tbl>
      <w:tblPr>
        <w:tblStyle w:val="TableGrid"/>
        <w:tblW w:w="0" w:type="auto"/>
        <w:jc w:val="center"/>
        <w:tblLook w:val="04A0" w:firstRow="1" w:lastRow="0" w:firstColumn="1" w:lastColumn="0" w:noHBand="0" w:noVBand="1"/>
      </w:tblPr>
      <w:tblGrid>
        <w:gridCol w:w="10166"/>
      </w:tblGrid>
      <w:tr w:rsidR="00051C16" w14:paraId="1CB590DA" w14:textId="77777777">
        <w:trPr>
          <w:tblHeader/>
          <w:jc w:val="center"/>
        </w:trPr>
        <w:tc>
          <w:tcPr>
            <w:tcW w:w="10166" w:type="dxa"/>
            <w:shd w:val="clear" w:color="auto" w:fill="F1F6FA"/>
          </w:tcPr>
          <w:p w14:paraId="31441A66" w14:textId="77777777" w:rsidR="00051C16" w:rsidRDefault="00000000">
            <w:pPr>
              <w:spacing w:after="40"/>
            </w:pPr>
            <w:r>
              <w:rPr>
                <w:b/>
                <w:color w:val="2E75B6"/>
              </w:rPr>
              <w:t>Core finance question</w:t>
            </w:r>
            <w:r>
              <w:rPr>
                <w:sz w:val="17"/>
              </w:rPr>
              <w:t xml:space="preserve">  Where is value being created, where is it being diluted, and which actions are most likely to improve sustainable profitability?</w:t>
            </w:r>
          </w:p>
        </w:tc>
      </w:tr>
    </w:tbl>
    <w:p w14:paraId="7C82ADD8" w14:textId="77777777" w:rsidR="00051C16" w:rsidRDefault="00051C16">
      <w:pPr>
        <w:spacing w:after="20"/>
      </w:pPr>
    </w:p>
    <w:p w14:paraId="3C542F94" w14:textId="77777777" w:rsidR="00051C16" w:rsidRDefault="00000000">
      <w:pPr>
        <w:pStyle w:val="Heading1"/>
      </w:pPr>
      <w:r>
        <w:t>3. Objectives, Scope &amp; Benchmark</w:t>
      </w:r>
    </w:p>
    <w:p w14:paraId="04B22134" w14:textId="77777777" w:rsidR="00051C16" w:rsidRDefault="00000000">
      <w:pPr>
        <w:pStyle w:val="Heading2"/>
      </w:pPr>
      <w:r>
        <w:t>3.1 Analytical Objectives</w:t>
      </w:r>
    </w:p>
    <w:p w14:paraId="40B0729A" w14:textId="77777777" w:rsidR="00051C16" w:rsidRDefault="00000000">
      <w:pPr>
        <w:pStyle w:val="ListBullet"/>
        <w:spacing w:after="40"/>
        <w:ind w:left="317" w:hanging="173"/>
      </w:pPr>
      <w:r>
        <w:t>Assess revenue growth and underlying sales mix across products, business units, regions, customer segments, and channels.</w:t>
      </w:r>
    </w:p>
    <w:p w14:paraId="4C2945F3" w14:textId="77777777" w:rsidR="00051C16" w:rsidRDefault="00000000">
      <w:pPr>
        <w:pStyle w:val="ListBullet"/>
        <w:spacing w:after="40"/>
        <w:ind w:left="317" w:hanging="173"/>
      </w:pPr>
      <w:r>
        <w:t>Evaluate discounting and pricing realization to identify revenue dilution.</w:t>
      </w:r>
    </w:p>
    <w:p w14:paraId="666D6A78" w14:textId="77777777" w:rsidR="00051C16" w:rsidRDefault="00000000">
      <w:pPr>
        <w:pStyle w:val="ListBullet"/>
        <w:spacing w:after="40"/>
        <w:ind w:left="317" w:hanging="173"/>
      </w:pPr>
      <w:r>
        <w:t>Analyze cost structure and profitability to identify major sources of pressure.</w:t>
      </w:r>
    </w:p>
    <w:p w14:paraId="0E9A6CB7" w14:textId="77777777" w:rsidR="00051C16" w:rsidRDefault="00000000">
      <w:pPr>
        <w:pStyle w:val="ListBullet"/>
        <w:spacing w:after="40"/>
        <w:ind w:left="317" w:hanging="173"/>
      </w:pPr>
      <w:r>
        <w:t>Compare financial performance across relevant business dimensions.</w:t>
      </w:r>
    </w:p>
    <w:p w14:paraId="55496A44" w14:textId="77777777" w:rsidR="00051C16" w:rsidRDefault="00000000">
      <w:pPr>
        <w:pStyle w:val="ListBullet"/>
        <w:spacing w:after="40"/>
        <w:ind w:left="317" w:hanging="173"/>
      </w:pPr>
      <w:r>
        <w:t>Investigate key drivers behind material profitability gaps and unusual performance patterns.</w:t>
      </w:r>
    </w:p>
    <w:p w14:paraId="7C7E9EF9" w14:textId="77777777" w:rsidR="00051C16" w:rsidRDefault="00000000">
      <w:pPr>
        <w:pStyle w:val="ListBullet"/>
        <w:spacing w:after="40"/>
        <w:ind w:left="317" w:hanging="173"/>
      </w:pPr>
      <w:r>
        <w:t>Quantify the financial impact of the most important issues and distinguish confirmed impact from exposure or illustrative opportunity.</w:t>
      </w:r>
    </w:p>
    <w:p w14:paraId="20A5A25B" w14:textId="77777777" w:rsidR="00051C16" w:rsidRDefault="00000000">
      <w:pPr>
        <w:pStyle w:val="ListBullet"/>
        <w:spacing w:after="40"/>
        <w:ind w:left="317" w:hanging="173"/>
      </w:pPr>
      <w:r>
        <w:t>Translate the results into prioritized management actions.</w:t>
      </w:r>
    </w:p>
    <w:p w14:paraId="0D52461E" w14:textId="77777777" w:rsidR="00051C16" w:rsidRDefault="00000000">
      <w:pPr>
        <w:pStyle w:val="Heading2"/>
      </w:pPr>
      <w:r>
        <w:t>3.2 Reporting Scope &amp; Benchmark</w:t>
      </w:r>
    </w:p>
    <w:tbl>
      <w:tblPr>
        <w:tblStyle w:val="TableGrid"/>
        <w:tblW w:w="0" w:type="auto"/>
        <w:jc w:val="center"/>
        <w:tblLook w:val="04A0" w:firstRow="1" w:lastRow="0" w:firstColumn="1" w:lastColumn="0" w:noHBand="0" w:noVBand="1"/>
      </w:tblPr>
      <w:tblGrid>
        <w:gridCol w:w="3024"/>
        <w:gridCol w:w="6048"/>
      </w:tblGrid>
      <w:tr w:rsidR="00051C16" w14:paraId="717870AC" w14:textId="77777777">
        <w:trPr>
          <w:tblHeader/>
          <w:jc w:val="center"/>
        </w:trPr>
        <w:tc>
          <w:tcPr>
            <w:tcW w:w="3024" w:type="dxa"/>
            <w:shd w:val="clear" w:color="auto" w:fill="1F4E6E"/>
            <w:vAlign w:val="center"/>
          </w:tcPr>
          <w:p w14:paraId="2858A433" w14:textId="77777777" w:rsidR="00051C16" w:rsidRDefault="00000000">
            <w:pPr>
              <w:jc w:val="center"/>
            </w:pPr>
            <w:r>
              <w:rPr>
                <w:b/>
                <w:color w:val="FFFFFF"/>
                <w:sz w:val="16"/>
              </w:rPr>
              <w:t>Dimension</w:t>
            </w:r>
          </w:p>
        </w:tc>
        <w:tc>
          <w:tcPr>
            <w:tcW w:w="6048" w:type="dxa"/>
            <w:shd w:val="clear" w:color="auto" w:fill="1F4E6E"/>
            <w:vAlign w:val="center"/>
          </w:tcPr>
          <w:p w14:paraId="6B9FEDF3" w14:textId="77777777" w:rsidR="00051C16" w:rsidRDefault="00000000">
            <w:pPr>
              <w:jc w:val="center"/>
            </w:pPr>
            <w:r>
              <w:rPr>
                <w:b/>
                <w:color w:val="FFFFFF"/>
                <w:sz w:val="16"/>
              </w:rPr>
              <w:t>Definition</w:t>
            </w:r>
          </w:p>
        </w:tc>
      </w:tr>
      <w:tr w:rsidR="00051C16" w14:paraId="1AD121FB" w14:textId="77777777">
        <w:trPr>
          <w:jc w:val="center"/>
        </w:trPr>
        <w:tc>
          <w:tcPr>
            <w:tcW w:w="3024" w:type="dxa"/>
            <w:vAlign w:val="center"/>
          </w:tcPr>
          <w:p w14:paraId="348757D1" w14:textId="77777777" w:rsidR="00051C16" w:rsidRDefault="00000000">
            <w:r>
              <w:rPr>
                <w:b/>
                <w:sz w:val="15"/>
              </w:rPr>
              <w:t>Reporting period</w:t>
            </w:r>
          </w:p>
        </w:tc>
        <w:tc>
          <w:tcPr>
            <w:tcW w:w="6048" w:type="dxa"/>
            <w:vAlign w:val="center"/>
          </w:tcPr>
          <w:p w14:paraId="4740C4F7" w14:textId="77777777" w:rsidR="00051C16" w:rsidRDefault="00000000">
            <w:r>
              <w:rPr>
                <w:sz w:val="15"/>
              </w:rPr>
              <w:t>1 January 2025 - 30 June 2025 (H1 2025)</w:t>
            </w:r>
          </w:p>
        </w:tc>
      </w:tr>
      <w:tr w:rsidR="00051C16" w14:paraId="579B3FDB" w14:textId="77777777">
        <w:trPr>
          <w:jc w:val="center"/>
        </w:trPr>
        <w:tc>
          <w:tcPr>
            <w:tcW w:w="3024" w:type="dxa"/>
            <w:shd w:val="clear" w:color="auto" w:fill="F5F7F9"/>
            <w:vAlign w:val="center"/>
          </w:tcPr>
          <w:p w14:paraId="64116363" w14:textId="77777777" w:rsidR="00051C16" w:rsidRDefault="00000000">
            <w:r>
              <w:rPr>
                <w:b/>
                <w:sz w:val="15"/>
              </w:rPr>
              <w:t>Primary benchmark</w:t>
            </w:r>
          </w:p>
        </w:tc>
        <w:tc>
          <w:tcPr>
            <w:tcW w:w="6048" w:type="dxa"/>
            <w:shd w:val="clear" w:color="auto" w:fill="F5F7F9"/>
            <w:vAlign w:val="center"/>
          </w:tcPr>
          <w:p w14:paraId="0A1EB891" w14:textId="77777777" w:rsidR="00051C16" w:rsidRDefault="00000000">
            <w:r>
              <w:rPr>
                <w:sz w:val="15"/>
              </w:rPr>
              <w:t>Board-approved H1 2025 Budget</w:t>
            </w:r>
          </w:p>
        </w:tc>
      </w:tr>
      <w:tr w:rsidR="00051C16" w14:paraId="6C1EC167" w14:textId="77777777">
        <w:trPr>
          <w:jc w:val="center"/>
        </w:trPr>
        <w:tc>
          <w:tcPr>
            <w:tcW w:w="3024" w:type="dxa"/>
            <w:vAlign w:val="center"/>
          </w:tcPr>
          <w:p w14:paraId="79EDA2B3" w14:textId="77777777" w:rsidR="00051C16" w:rsidRDefault="00000000">
            <w:r>
              <w:rPr>
                <w:b/>
                <w:sz w:val="15"/>
              </w:rPr>
              <w:t>Budget grain</w:t>
            </w:r>
          </w:p>
        </w:tc>
        <w:tc>
          <w:tcPr>
            <w:tcW w:w="6048" w:type="dxa"/>
            <w:vAlign w:val="center"/>
          </w:tcPr>
          <w:p w14:paraId="2C87ADAE" w14:textId="77777777" w:rsidR="00051C16" w:rsidRDefault="00000000">
            <w:r>
              <w:rPr>
                <w:sz w:val="15"/>
              </w:rPr>
              <w:t>Business Unit × Region × Month</w:t>
            </w:r>
          </w:p>
        </w:tc>
      </w:tr>
      <w:tr w:rsidR="00051C16" w14:paraId="09BCD55C" w14:textId="77777777">
        <w:trPr>
          <w:jc w:val="center"/>
        </w:trPr>
        <w:tc>
          <w:tcPr>
            <w:tcW w:w="3024" w:type="dxa"/>
            <w:shd w:val="clear" w:color="auto" w:fill="F5F7F9"/>
            <w:vAlign w:val="center"/>
          </w:tcPr>
          <w:p w14:paraId="72EE7A69" w14:textId="77777777" w:rsidR="00051C16" w:rsidRDefault="00000000">
            <w:r>
              <w:rPr>
                <w:b/>
                <w:sz w:val="15"/>
              </w:rPr>
              <w:t>Secondary comparisons</w:t>
            </w:r>
          </w:p>
        </w:tc>
        <w:tc>
          <w:tcPr>
            <w:tcW w:w="6048" w:type="dxa"/>
            <w:shd w:val="clear" w:color="auto" w:fill="F5F7F9"/>
            <w:vAlign w:val="center"/>
          </w:tcPr>
          <w:p w14:paraId="41DB00DC" w14:textId="77777777" w:rsidR="00051C16" w:rsidRDefault="00000000">
            <w:r>
              <w:rPr>
                <w:sz w:val="15"/>
              </w:rPr>
              <w:t>Month-to-month trends, product mix, customer mix</w:t>
            </w:r>
          </w:p>
        </w:tc>
      </w:tr>
      <w:tr w:rsidR="00051C16" w14:paraId="30C5B625" w14:textId="77777777">
        <w:trPr>
          <w:jc w:val="center"/>
        </w:trPr>
        <w:tc>
          <w:tcPr>
            <w:tcW w:w="3024" w:type="dxa"/>
            <w:vAlign w:val="center"/>
          </w:tcPr>
          <w:p w14:paraId="2C51F14E" w14:textId="77777777" w:rsidR="00051C16" w:rsidRDefault="00000000">
            <w:r>
              <w:rPr>
                <w:b/>
                <w:sz w:val="15"/>
              </w:rPr>
              <w:t>Primary analytical grain</w:t>
            </w:r>
          </w:p>
        </w:tc>
        <w:tc>
          <w:tcPr>
            <w:tcW w:w="6048" w:type="dxa"/>
            <w:vAlign w:val="center"/>
          </w:tcPr>
          <w:p w14:paraId="5EA310BB" w14:textId="77777777" w:rsidR="00051C16" w:rsidRDefault="00000000">
            <w:r>
              <w:rPr>
                <w:sz w:val="15"/>
              </w:rPr>
              <w:t>Transaction level, enriched with relevant supporting attributes</w:t>
            </w:r>
          </w:p>
        </w:tc>
      </w:tr>
      <w:tr w:rsidR="00051C16" w14:paraId="7BE4FBB3" w14:textId="77777777">
        <w:trPr>
          <w:jc w:val="center"/>
        </w:trPr>
        <w:tc>
          <w:tcPr>
            <w:tcW w:w="3024" w:type="dxa"/>
            <w:shd w:val="clear" w:color="auto" w:fill="F5F7F9"/>
            <w:vAlign w:val="center"/>
          </w:tcPr>
          <w:p w14:paraId="2BE9659C" w14:textId="77777777" w:rsidR="00051C16" w:rsidRDefault="00000000">
            <w:r>
              <w:rPr>
                <w:b/>
                <w:sz w:val="15"/>
              </w:rPr>
              <w:lastRenderedPageBreak/>
              <w:t>Currency basis</w:t>
            </w:r>
          </w:p>
        </w:tc>
        <w:tc>
          <w:tcPr>
            <w:tcW w:w="6048" w:type="dxa"/>
            <w:shd w:val="clear" w:color="auto" w:fill="F5F7F9"/>
            <w:vAlign w:val="center"/>
          </w:tcPr>
          <w:p w14:paraId="33EBE60B" w14:textId="77777777" w:rsidR="00051C16" w:rsidRDefault="00000000">
            <w:r>
              <w:rPr>
                <w:sz w:val="15"/>
              </w:rPr>
              <w:t>USD where converted using the FX-rate data, where applicable</w:t>
            </w:r>
          </w:p>
        </w:tc>
      </w:tr>
    </w:tbl>
    <w:p w14:paraId="1A98FBB7" w14:textId="77777777" w:rsidR="00051C16" w:rsidRDefault="00051C16">
      <w:pPr>
        <w:spacing w:after="20"/>
      </w:pPr>
    </w:p>
    <w:p w14:paraId="79FD4E5B" w14:textId="77777777" w:rsidR="00051C16" w:rsidRDefault="00000000">
      <w:pPr>
        <w:pStyle w:val="Heading2"/>
      </w:pPr>
      <w:r>
        <w:t>3.3 Key Questions</w:t>
      </w:r>
    </w:p>
    <w:p w14:paraId="05B3DFB7" w14:textId="77777777" w:rsidR="00051C16" w:rsidRDefault="00000000">
      <w:pPr>
        <w:pStyle w:val="ListNumber"/>
        <w:spacing w:after="40"/>
      </w:pPr>
      <w:r>
        <w:t>Where is revenue growth coming from, and how profitable is that growth?</w:t>
      </w:r>
    </w:p>
    <w:p w14:paraId="609A1D43" w14:textId="77777777" w:rsidR="00051C16" w:rsidRDefault="00000000">
      <w:pPr>
        <w:pStyle w:val="ListNumber"/>
        <w:spacing w:after="40"/>
      </w:pPr>
      <w:r>
        <w:t>Where are discounts or pricing patterns weakening revenue realization?</w:t>
      </w:r>
    </w:p>
    <w:p w14:paraId="13616C82" w14:textId="77777777" w:rsidR="00051C16" w:rsidRDefault="00000000">
      <w:pPr>
        <w:pStyle w:val="ListNumber"/>
        <w:spacing w:after="40"/>
      </w:pPr>
      <w:r>
        <w:t>Which products, business units, regions, or customer groups are creating or diluting value?</w:t>
      </w:r>
    </w:p>
    <w:p w14:paraId="1B8C708D" w14:textId="77777777" w:rsidR="00051C16" w:rsidRDefault="00000000">
      <w:pPr>
        <w:pStyle w:val="ListNumber"/>
        <w:spacing w:after="40"/>
      </w:pPr>
      <w:r>
        <w:t>What cost pressures are contributing most to the profitability gap?</w:t>
      </w:r>
    </w:p>
    <w:p w14:paraId="75C682F9" w14:textId="77777777" w:rsidR="00051C16" w:rsidRDefault="00000000">
      <w:pPr>
        <w:pStyle w:val="ListNumber"/>
        <w:spacing w:after="40"/>
      </w:pPr>
      <w:r>
        <w:t>Which issues have the greatest measurable financial impact?</w:t>
      </w:r>
    </w:p>
    <w:p w14:paraId="76E46101" w14:textId="39712EF3" w:rsidR="00051C16" w:rsidRDefault="00000000" w:rsidP="000752E9">
      <w:pPr>
        <w:pStyle w:val="ListNumber"/>
        <w:spacing w:after="40"/>
      </w:pPr>
      <w:r>
        <w:t>Where should management prioritize action?</w:t>
      </w:r>
    </w:p>
    <w:p w14:paraId="326A564E" w14:textId="77777777" w:rsidR="00051C16" w:rsidRDefault="00000000">
      <w:pPr>
        <w:pStyle w:val="Heading1"/>
      </w:pPr>
      <w:r>
        <w:t>4. Data Architecture &amp; Source Inventory</w:t>
      </w:r>
    </w:p>
    <w:p w14:paraId="347DBA64" w14:textId="77777777" w:rsidR="00051C16" w:rsidRDefault="00000000">
      <w:r>
        <w:t>The project uses seven interconnected source datasets. The transaction table provides the primary analytical starting point, while customer, product, cost, budget, organizational, and FX tables provide enrichment, benchmarking, and contextual information.</w:t>
      </w:r>
    </w:p>
    <w:tbl>
      <w:tblPr>
        <w:tblStyle w:val="TableGrid"/>
        <w:tblW w:w="0" w:type="auto"/>
        <w:jc w:val="center"/>
        <w:tblLook w:val="04A0" w:firstRow="1" w:lastRow="0" w:firstColumn="1" w:lastColumn="0" w:noHBand="0" w:noVBand="1"/>
      </w:tblPr>
      <w:tblGrid>
        <w:gridCol w:w="2376"/>
        <w:gridCol w:w="1152"/>
        <w:gridCol w:w="5544"/>
      </w:tblGrid>
      <w:tr w:rsidR="00051C16" w14:paraId="27140A8B" w14:textId="77777777">
        <w:trPr>
          <w:tblHeader/>
          <w:jc w:val="center"/>
        </w:trPr>
        <w:tc>
          <w:tcPr>
            <w:tcW w:w="2376" w:type="dxa"/>
            <w:shd w:val="clear" w:color="auto" w:fill="1F4E6E"/>
            <w:vAlign w:val="center"/>
          </w:tcPr>
          <w:p w14:paraId="56644FD0" w14:textId="77777777" w:rsidR="00051C16" w:rsidRDefault="00000000">
            <w:pPr>
              <w:jc w:val="center"/>
            </w:pPr>
            <w:r>
              <w:rPr>
                <w:b/>
                <w:color w:val="FFFFFF"/>
                <w:sz w:val="16"/>
              </w:rPr>
              <w:t>Dataset</w:t>
            </w:r>
          </w:p>
        </w:tc>
        <w:tc>
          <w:tcPr>
            <w:tcW w:w="1152" w:type="dxa"/>
            <w:shd w:val="clear" w:color="auto" w:fill="1F4E6E"/>
            <w:vAlign w:val="center"/>
          </w:tcPr>
          <w:p w14:paraId="6156D552" w14:textId="77777777" w:rsidR="00051C16" w:rsidRDefault="00000000">
            <w:pPr>
              <w:jc w:val="center"/>
            </w:pPr>
            <w:r>
              <w:rPr>
                <w:b/>
                <w:color w:val="FFFFFF"/>
                <w:sz w:val="16"/>
              </w:rPr>
              <w:t>Approx. rows</w:t>
            </w:r>
          </w:p>
        </w:tc>
        <w:tc>
          <w:tcPr>
            <w:tcW w:w="5544" w:type="dxa"/>
            <w:shd w:val="clear" w:color="auto" w:fill="1F4E6E"/>
            <w:vAlign w:val="center"/>
          </w:tcPr>
          <w:p w14:paraId="5B42A72B" w14:textId="77777777" w:rsidR="00051C16" w:rsidRDefault="00000000">
            <w:pPr>
              <w:jc w:val="center"/>
            </w:pPr>
            <w:r>
              <w:rPr>
                <w:b/>
                <w:color w:val="FFFFFF"/>
                <w:sz w:val="16"/>
              </w:rPr>
              <w:t>Role / fields used</w:t>
            </w:r>
          </w:p>
        </w:tc>
      </w:tr>
      <w:tr w:rsidR="00051C16" w14:paraId="19EB75ED" w14:textId="77777777">
        <w:trPr>
          <w:jc w:val="center"/>
        </w:trPr>
        <w:tc>
          <w:tcPr>
            <w:tcW w:w="2376" w:type="dxa"/>
            <w:vAlign w:val="center"/>
          </w:tcPr>
          <w:p w14:paraId="46E53BE1" w14:textId="77777777" w:rsidR="00051C16" w:rsidRDefault="00000000">
            <w:r>
              <w:rPr>
                <w:b/>
                <w:sz w:val="15"/>
              </w:rPr>
              <w:t>01_Transactions_Raw</w:t>
            </w:r>
          </w:p>
        </w:tc>
        <w:tc>
          <w:tcPr>
            <w:tcW w:w="1152" w:type="dxa"/>
            <w:vAlign w:val="center"/>
          </w:tcPr>
          <w:p w14:paraId="63370838" w14:textId="77777777" w:rsidR="00051C16" w:rsidRDefault="00000000">
            <w:r>
              <w:rPr>
                <w:sz w:val="15"/>
              </w:rPr>
              <w:t>~1,310</w:t>
            </w:r>
          </w:p>
        </w:tc>
        <w:tc>
          <w:tcPr>
            <w:tcW w:w="5544" w:type="dxa"/>
            <w:vAlign w:val="center"/>
          </w:tcPr>
          <w:p w14:paraId="5143323F" w14:textId="77777777" w:rsidR="00051C16" w:rsidRDefault="00000000">
            <w:r>
              <w:rPr>
                <w:sz w:val="15"/>
              </w:rPr>
              <w:t>Transaction date, customer, product, region, business unit, channel, quantity, price, discount, revenue, currency, contract type, segment</w:t>
            </w:r>
          </w:p>
        </w:tc>
      </w:tr>
      <w:tr w:rsidR="00051C16" w14:paraId="53D5C653" w14:textId="77777777">
        <w:trPr>
          <w:jc w:val="center"/>
        </w:trPr>
        <w:tc>
          <w:tcPr>
            <w:tcW w:w="2376" w:type="dxa"/>
            <w:shd w:val="clear" w:color="auto" w:fill="F5F7F9"/>
            <w:vAlign w:val="center"/>
          </w:tcPr>
          <w:p w14:paraId="7917D32B" w14:textId="77777777" w:rsidR="00051C16" w:rsidRDefault="00000000">
            <w:r>
              <w:rPr>
                <w:b/>
                <w:sz w:val="15"/>
              </w:rPr>
              <w:t>02_Customers_Raw</w:t>
            </w:r>
          </w:p>
        </w:tc>
        <w:tc>
          <w:tcPr>
            <w:tcW w:w="1152" w:type="dxa"/>
            <w:shd w:val="clear" w:color="auto" w:fill="F5F7F9"/>
            <w:vAlign w:val="center"/>
          </w:tcPr>
          <w:p w14:paraId="220D232A" w14:textId="77777777" w:rsidR="00051C16" w:rsidRDefault="00000000">
            <w:r>
              <w:rPr>
                <w:sz w:val="15"/>
              </w:rPr>
              <w:t>185</w:t>
            </w:r>
          </w:p>
        </w:tc>
        <w:tc>
          <w:tcPr>
            <w:tcW w:w="5544" w:type="dxa"/>
            <w:shd w:val="clear" w:color="auto" w:fill="F5F7F9"/>
            <w:vAlign w:val="center"/>
          </w:tcPr>
          <w:p w14:paraId="6D0AD68D" w14:textId="77777777" w:rsidR="00051C16" w:rsidRDefault="00000000">
            <w:r>
              <w:rPr>
                <w:sz w:val="15"/>
              </w:rPr>
              <w:t>Customer attributes, type, segment, region, industry, account status, credit information</w:t>
            </w:r>
          </w:p>
        </w:tc>
      </w:tr>
      <w:tr w:rsidR="00051C16" w14:paraId="4E7ABD12" w14:textId="77777777">
        <w:trPr>
          <w:jc w:val="center"/>
        </w:trPr>
        <w:tc>
          <w:tcPr>
            <w:tcW w:w="2376" w:type="dxa"/>
            <w:vAlign w:val="center"/>
          </w:tcPr>
          <w:p w14:paraId="4B263598" w14:textId="77777777" w:rsidR="00051C16" w:rsidRDefault="00000000">
            <w:r>
              <w:rPr>
                <w:b/>
                <w:sz w:val="15"/>
              </w:rPr>
              <w:t>03_Products_Raw</w:t>
            </w:r>
          </w:p>
        </w:tc>
        <w:tc>
          <w:tcPr>
            <w:tcW w:w="1152" w:type="dxa"/>
            <w:vAlign w:val="center"/>
          </w:tcPr>
          <w:p w14:paraId="13E2E116" w14:textId="77777777" w:rsidR="00051C16" w:rsidRDefault="00000000">
            <w:r>
              <w:rPr>
                <w:sz w:val="15"/>
              </w:rPr>
              <w:t>19</w:t>
            </w:r>
          </w:p>
        </w:tc>
        <w:tc>
          <w:tcPr>
            <w:tcW w:w="5544" w:type="dxa"/>
            <w:vAlign w:val="center"/>
          </w:tcPr>
          <w:p w14:paraId="01E1CCCE" w14:textId="77777777" w:rsidR="00051C16" w:rsidRDefault="00000000">
            <w:r>
              <w:rPr>
                <w:sz w:val="15"/>
              </w:rPr>
              <w:t>Product master, category/family, BU, list price, standard variable cost, fixed allocation reference</w:t>
            </w:r>
          </w:p>
        </w:tc>
      </w:tr>
      <w:tr w:rsidR="00051C16" w14:paraId="58D58623" w14:textId="77777777">
        <w:trPr>
          <w:jc w:val="center"/>
        </w:trPr>
        <w:tc>
          <w:tcPr>
            <w:tcW w:w="2376" w:type="dxa"/>
            <w:shd w:val="clear" w:color="auto" w:fill="F5F7F9"/>
            <w:vAlign w:val="center"/>
          </w:tcPr>
          <w:p w14:paraId="55B44B42" w14:textId="77777777" w:rsidR="00051C16" w:rsidRDefault="00000000">
            <w:r>
              <w:rPr>
                <w:b/>
                <w:sz w:val="15"/>
              </w:rPr>
              <w:t>04_Costs_Raw</w:t>
            </w:r>
          </w:p>
        </w:tc>
        <w:tc>
          <w:tcPr>
            <w:tcW w:w="1152" w:type="dxa"/>
            <w:shd w:val="clear" w:color="auto" w:fill="F5F7F9"/>
            <w:vAlign w:val="center"/>
          </w:tcPr>
          <w:p w14:paraId="00B80D27" w14:textId="77777777" w:rsidR="00051C16" w:rsidRDefault="00000000">
            <w:r>
              <w:rPr>
                <w:sz w:val="15"/>
              </w:rPr>
              <w:t>324</w:t>
            </w:r>
          </w:p>
        </w:tc>
        <w:tc>
          <w:tcPr>
            <w:tcW w:w="5544" w:type="dxa"/>
            <w:shd w:val="clear" w:color="auto" w:fill="F5F7F9"/>
            <w:vAlign w:val="center"/>
          </w:tcPr>
          <w:p w14:paraId="2FDD5368" w14:textId="77777777" w:rsidR="00051C16" w:rsidRDefault="00000000">
            <w:r>
              <w:rPr>
                <w:sz w:val="15"/>
              </w:rPr>
              <w:t>Monthly product costs, standard vs actual cost, cost type/category, cost center, notes</w:t>
            </w:r>
          </w:p>
        </w:tc>
      </w:tr>
      <w:tr w:rsidR="00051C16" w14:paraId="72940C94" w14:textId="77777777">
        <w:trPr>
          <w:jc w:val="center"/>
        </w:trPr>
        <w:tc>
          <w:tcPr>
            <w:tcW w:w="2376" w:type="dxa"/>
            <w:vAlign w:val="center"/>
          </w:tcPr>
          <w:p w14:paraId="1287CB64" w14:textId="77777777" w:rsidR="00051C16" w:rsidRDefault="00000000">
            <w:r>
              <w:rPr>
                <w:b/>
                <w:sz w:val="15"/>
              </w:rPr>
              <w:t>05_Budget_Raw</w:t>
            </w:r>
          </w:p>
        </w:tc>
        <w:tc>
          <w:tcPr>
            <w:tcW w:w="1152" w:type="dxa"/>
            <w:vAlign w:val="center"/>
          </w:tcPr>
          <w:p w14:paraId="7E926EE0" w14:textId="77777777" w:rsidR="00051C16" w:rsidRDefault="00000000">
            <w:r>
              <w:rPr>
                <w:sz w:val="15"/>
              </w:rPr>
              <w:t>72</w:t>
            </w:r>
          </w:p>
        </w:tc>
        <w:tc>
          <w:tcPr>
            <w:tcW w:w="5544" w:type="dxa"/>
            <w:vAlign w:val="center"/>
          </w:tcPr>
          <w:p w14:paraId="52B48661" w14:textId="77777777" w:rsidR="00051C16" w:rsidRDefault="00000000">
            <w:r>
              <w:rPr>
                <w:sz w:val="15"/>
              </w:rPr>
              <w:t>Board-approved H1 2025 budget by Business Unit × Region × Month</w:t>
            </w:r>
          </w:p>
        </w:tc>
      </w:tr>
      <w:tr w:rsidR="00051C16" w14:paraId="196FA5AC" w14:textId="77777777">
        <w:trPr>
          <w:jc w:val="center"/>
        </w:trPr>
        <w:tc>
          <w:tcPr>
            <w:tcW w:w="2376" w:type="dxa"/>
            <w:shd w:val="clear" w:color="auto" w:fill="F5F7F9"/>
            <w:vAlign w:val="center"/>
          </w:tcPr>
          <w:p w14:paraId="34B385B3" w14:textId="77777777" w:rsidR="00051C16" w:rsidRDefault="00000000">
            <w:r>
              <w:rPr>
                <w:b/>
                <w:sz w:val="15"/>
              </w:rPr>
              <w:t>06_Org_Reference_Raw</w:t>
            </w:r>
          </w:p>
        </w:tc>
        <w:tc>
          <w:tcPr>
            <w:tcW w:w="1152" w:type="dxa"/>
            <w:shd w:val="clear" w:color="auto" w:fill="F5F7F9"/>
            <w:vAlign w:val="center"/>
          </w:tcPr>
          <w:p w14:paraId="661CE849" w14:textId="77777777" w:rsidR="00051C16" w:rsidRDefault="00000000">
            <w:r>
              <w:rPr>
                <w:sz w:val="15"/>
              </w:rPr>
              <w:t>12</w:t>
            </w:r>
          </w:p>
        </w:tc>
        <w:tc>
          <w:tcPr>
            <w:tcW w:w="5544" w:type="dxa"/>
            <w:shd w:val="clear" w:color="auto" w:fill="F5F7F9"/>
            <w:vAlign w:val="center"/>
          </w:tcPr>
          <w:p w14:paraId="7E082490" w14:textId="77777777" w:rsidR="00051C16" w:rsidRDefault="00000000">
            <w:r>
              <w:rPr>
                <w:sz w:val="15"/>
              </w:rPr>
              <w:t>Business Unit and Region mappings, managers, finance partners, cost-center prefixes</w:t>
            </w:r>
          </w:p>
        </w:tc>
      </w:tr>
      <w:tr w:rsidR="00051C16" w14:paraId="0B3656A6" w14:textId="77777777">
        <w:trPr>
          <w:jc w:val="center"/>
        </w:trPr>
        <w:tc>
          <w:tcPr>
            <w:tcW w:w="2376" w:type="dxa"/>
            <w:vAlign w:val="center"/>
          </w:tcPr>
          <w:p w14:paraId="6B33669D" w14:textId="77777777" w:rsidR="00051C16" w:rsidRDefault="00000000">
            <w:r>
              <w:rPr>
                <w:b/>
                <w:sz w:val="15"/>
              </w:rPr>
              <w:t>07_FX_Rates_Raw</w:t>
            </w:r>
          </w:p>
        </w:tc>
        <w:tc>
          <w:tcPr>
            <w:tcW w:w="1152" w:type="dxa"/>
            <w:vAlign w:val="center"/>
          </w:tcPr>
          <w:p w14:paraId="2DF4788B" w14:textId="77777777" w:rsidR="00051C16" w:rsidRDefault="00000000">
            <w:r>
              <w:rPr>
                <w:sz w:val="15"/>
              </w:rPr>
              <w:t>18</w:t>
            </w:r>
          </w:p>
        </w:tc>
        <w:tc>
          <w:tcPr>
            <w:tcW w:w="5544" w:type="dxa"/>
            <w:vAlign w:val="center"/>
          </w:tcPr>
          <w:p w14:paraId="16C1285E" w14:textId="77777777" w:rsidR="00051C16" w:rsidRDefault="00000000">
            <w:r>
              <w:rPr>
                <w:sz w:val="15"/>
              </w:rPr>
              <w:t>Monthly currency-to-USD rates</w:t>
            </w:r>
          </w:p>
        </w:tc>
      </w:tr>
    </w:tbl>
    <w:p w14:paraId="3EA6D022" w14:textId="77777777" w:rsidR="00051C16" w:rsidRDefault="00051C16">
      <w:pPr>
        <w:spacing w:after="20"/>
      </w:pPr>
    </w:p>
    <w:p w14:paraId="208B7A2D" w14:textId="77777777" w:rsidR="00051C16" w:rsidRDefault="00000000">
      <w:pPr>
        <w:pStyle w:val="Heading2"/>
      </w:pPr>
      <w:r>
        <w:t>4.1 Data Relationships</w:t>
      </w:r>
    </w:p>
    <w:p w14:paraId="21DAD150" w14:textId="77777777" w:rsidR="00051C16" w:rsidRDefault="00000000">
      <w:pPr>
        <w:pStyle w:val="ListBullet"/>
        <w:spacing w:after="40"/>
        <w:ind w:left="317" w:hanging="173"/>
      </w:pPr>
      <w:r>
        <w:t>Transactions link to customers through CustomerID.</w:t>
      </w:r>
    </w:p>
    <w:p w14:paraId="629CB00B" w14:textId="77777777" w:rsidR="00051C16" w:rsidRDefault="00000000">
      <w:pPr>
        <w:pStyle w:val="ListBullet"/>
        <w:spacing w:after="40"/>
        <w:ind w:left="317" w:hanging="173"/>
      </w:pPr>
      <w:r>
        <w:t>Transactions link to products through ProductID.</w:t>
      </w:r>
    </w:p>
    <w:p w14:paraId="301A88DD" w14:textId="77777777" w:rsidR="00051C16" w:rsidRDefault="00000000">
      <w:pPr>
        <w:pStyle w:val="ListBullet"/>
        <w:spacing w:after="40"/>
        <w:ind w:left="317" w:hanging="173"/>
      </w:pPr>
      <w:r>
        <w:t>Product and cost information is aligned using product and time dimensions.</w:t>
      </w:r>
    </w:p>
    <w:p w14:paraId="05014B39" w14:textId="77777777" w:rsidR="00051C16" w:rsidRDefault="00000000">
      <w:pPr>
        <w:pStyle w:val="ListBullet"/>
        <w:spacing w:after="40"/>
        <w:ind w:left="317" w:hanging="173"/>
      </w:pPr>
      <w:r>
        <w:t>Transactions are mapped to Business Unit and Region through organizational reference data and validated classifications.</w:t>
      </w:r>
    </w:p>
    <w:p w14:paraId="1DAF8162" w14:textId="77777777" w:rsidR="00051C16" w:rsidRDefault="00000000">
      <w:pPr>
        <w:pStyle w:val="ListBullet"/>
        <w:spacing w:after="40"/>
        <w:ind w:left="317" w:hanging="173"/>
      </w:pPr>
      <w:r>
        <w:t>Actual performance is compared with budget at Business Unit × Region × Month.</w:t>
      </w:r>
    </w:p>
    <w:p w14:paraId="71033E80" w14:textId="77777777" w:rsidR="00051C16" w:rsidRDefault="00000000">
      <w:pPr>
        <w:pStyle w:val="ListBullet"/>
        <w:spacing w:after="40"/>
        <w:ind w:left="317" w:hanging="173"/>
      </w:pPr>
      <w:r>
        <w:t>FX rates are applied by currency and reporting period where currency conversion is required.</w:t>
      </w:r>
    </w:p>
    <w:p w14:paraId="2481B3A8" w14:textId="77777777" w:rsidR="00051C16" w:rsidRDefault="00000000">
      <w:pPr>
        <w:pStyle w:val="Heading2"/>
      </w:pPr>
      <w:r>
        <w:t>4.2 Data Lineage</w:t>
      </w:r>
    </w:p>
    <w:tbl>
      <w:tblPr>
        <w:tblStyle w:val="TableGrid"/>
        <w:tblW w:w="0" w:type="auto"/>
        <w:jc w:val="center"/>
        <w:tblLook w:val="04A0" w:firstRow="1" w:lastRow="0" w:firstColumn="1" w:lastColumn="0" w:noHBand="0" w:noVBand="1"/>
      </w:tblPr>
      <w:tblGrid>
        <w:gridCol w:w="1944"/>
        <w:gridCol w:w="4464"/>
        <w:gridCol w:w="2808"/>
      </w:tblGrid>
      <w:tr w:rsidR="00051C16" w14:paraId="14EDCAB1" w14:textId="77777777">
        <w:trPr>
          <w:tblHeader/>
          <w:jc w:val="center"/>
        </w:trPr>
        <w:tc>
          <w:tcPr>
            <w:tcW w:w="1944" w:type="dxa"/>
            <w:shd w:val="clear" w:color="auto" w:fill="1F4E6E"/>
            <w:vAlign w:val="center"/>
          </w:tcPr>
          <w:p w14:paraId="1ED5F0F3" w14:textId="77777777" w:rsidR="00051C16" w:rsidRDefault="00000000">
            <w:pPr>
              <w:jc w:val="center"/>
            </w:pPr>
            <w:r>
              <w:rPr>
                <w:b/>
                <w:color w:val="FFFFFF"/>
                <w:sz w:val="16"/>
              </w:rPr>
              <w:t>Stage</w:t>
            </w:r>
          </w:p>
        </w:tc>
        <w:tc>
          <w:tcPr>
            <w:tcW w:w="4464" w:type="dxa"/>
            <w:shd w:val="clear" w:color="auto" w:fill="1F4E6E"/>
            <w:vAlign w:val="center"/>
          </w:tcPr>
          <w:p w14:paraId="1089679B" w14:textId="77777777" w:rsidR="00051C16" w:rsidRDefault="00000000">
            <w:pPr>
              <w:jc w:val="center"/>
            </w:pPr>
            <w:r>
              <w:rPr>
                <w:b/>
                <w:color w:val="FFFFFF"/>
                <w:sz w:val="16"/>
              </w:rPr>
              <w:t>Purpose</w:t>
            </w:r>
          </w:p>
        </w:tc>
        <w:tc>
          <w:tcPr>
            <w:tcW w:w="2808" w:type="dxa"/>
            <w:shd w:val="clear" w:color="auto" w:fill="1F4E6E"/>
            <w:vAlign w:val="center"/>
          </w:tcPr>
          <w:p w14:paraId="02586A2C" w14:textId="77777777" w:rsidR="00051C16" w:rsidRDefault="00000000">
            <w:pPr>
              <w:jc w:val="center"/>
            </w:pPr>
            <w:r>
              <w:rPr>
                <w:b/>
                <w:color w:val="FFFFFF"/>
                <w:sz w:val="16"/>
              </w:rPr>
              <w:t>Output</w:t>
            </w:r>
          </w:p>
        </w:tc>
      </w:tr>
      <w:tr w:rsidR="00051C16" w14:paraId="27156D5B" w14:textId="77777777">
        <w:trPr>
          <w:jc w:val="center"/>
        </w:trPr>
        <w:tc>
          <w:tcPr>
            <w:tcW w:w="1944" w:type="dxa"/>
            <w:vAlign w:val="center"/>
          </w:tcPr>
          <w:p w14:paraId="01859E55" w14:textId="77777777" w:rsidR="00051C16" w:rsidRDefault="00000000">
            <w:r>
              <w:rPr>
                <w:b/>
                <w:sz w:val="15"/>
              </w:rPr>
              <w:t>01 - Raw</w:t>
            </w:r>
          </w:p>
        </w:tc>
        <w:tc>
          <w:tcPr>
            <w:tcW w:w="4464" w:type="dxa"/>
            <w:vAlign w:val="center"/>
          </w:tcPr>
          <w:p w14:paraId="7E17C591" w14:textId="77777777" w:rsidR="00051C16" w:rsidRDefault="00000000">
            <w:r>
              <w:rPr>
                <w:sz w:val="15"/>
              </w:rPr>
              <w:t>Preserve original extracts without analytical modification.</w:t>
            </w:r>
          </w:p>
        </w:tc>
        <w:tc>
          <w:tcPr>
            <w:tcW w:w="2808" w:type="dxa"/>
            <w:vAlign w:val="center"/>
          </w:tcPr>
          <w:p w14:paraId="71034FB3" w14:textId="77777777" w:rsidR="00051C16" w:rsidRDefault="00000000">
            <w:r>
              <w:rPr>
                <w:sz w:val="15"/>
              </w:rPr>
              <w:t>Original source workbooks</w:t>
            </w:r>
          </w:p>
        </w:tc>
      </w:tr>
      <w:tr w:rsidR="00051C16" w14:paraId="0983634F" w14:textId="77777777">
        <w:trPr>
          <w:jc w:val="center"/>
        </w:trPr>
        <w:tc>
          <w:tcPr>
            <w:tcW w:w="1944" w:type="dxa"/>
            <w:shd w:val="clear" w:color="auto" w:fill="F5F7F9"/>
            <w:vAlign w:val="center"/>
          </w:tcPr>
          <w:p w14:paraId="7C11021D" w14:textId="77777777" w:rsidR="00051C16" w:rsidRDefault="00000000">
            <w:r>
              <w:rPr>
                <w:b/>
                <w:sz w:val="15"/>
              </w:rPr>
              <w:t>02 - Cleaned</w:t>
            </w:r>
          </w:p>
        </w:tc>
        <w:tc>
          <w:tcPr>
            <w:tcW w:w="4464" w:type="dxa"/>
            <w:shd w:val="clear" w:color="auto" w:fill="F5F7F9"/>
            <w:vAlign w:val="center"/>
          </w:tcPr>
          <w:p w14:paraId="338B0C5F" w14:textId="77777777" w:rsidR="00051C16" w:rsidRDefault="00000000">
            <w:r>
              <w:rPr>
                <w:sz w:val="15"/>
              </w:rPr>
              <w:t>Standardize, validate, correct confirmed issues, and document exceptions.</w:t>
            </w:r>
          </w:p>
        </w:tc>
        <w:tc>
          <w:tcPr>
            <w:tcW w:w="2808" w:type="dxa"/>
            <w:shd w:val="clear" w:color="auto" w:fill="F5F7F9"/>
            <w:vAlign w:val="center"/>
          </w:tcPr>
          <w:p w14:paraId="78665979" w14:textId="77777777" w:rsidR="00051C16" w:rsidRDefault="00000000">
            <w:r>
              <w:rPr>
                <w:sz w:val="15"/>
              </w:rPr>
              <w:t>Cleaned source tables</w:t>
            </w:r>
          </w:p>
        </w:tc>
      </w:tr>
      <w:tr w:rsidR="00051C16" w14:paraId="4553C5CB" w14:textId="77777777">
        <w:trPr>
          <w:jc w:val="center"/>
        </w:trPr>
        <w:tc>
          <w:tcPr>
            <w:tcW w:w="1944" w:type="dxa"/>
            <w:vAlign w:val="center"/>
          </w:tcPr>
          <w:p w14:paraId="108573FE" w14:textId="77777777" w:rsidR="00051C16" w:rsidRDefault="00000000">
            <w:r>
              <w:rPr>
                <w:b/>
                <w:sz w:val="15"/>
              </w:rPr>
              <w:t>03 - Analytical</w:t>
            </w:r>
          </w:p>
        </w:tc>
        <w:tc>
          <w:tcPr>
            <w:tcW w:w="4464" w:type="dxa"/>
            <w:vAlign w:val="center"/>
          </w:tcPr>
          <w:p w14:paraId="6ABF83C7" w14:textId="77777777" w:rsidR="00051C16" w:rsidRDefault="00000000">
            <w:r>
              <w:rPr>
                <w:sz w:val="15"/>
              </w:rPr>
              <w:t>Integrate relevant dimensions and calculate fields needed for financial analysis.</w:t>
            </w:r>
          </w:p>
        </w:tc>
        <w:tc>
          <w:tcPr>
            <w:tcW w:w="2808" w:type="dxa"/>
            <w:vAlign w:val="center"/>
          </w:tcPr>
          <w:p w14:paraId="502F6573" w14:textId="77777777" w:rsidR="00051C16" w:rsidRDefault="00000000">
            <w:r>
              <w:rPr>
                <w:sz w:val="15"/>
              </w:rPr>
              <w:t>Analysis-ready dataset</w:t>
            </w:r>
          </w:p>
        </w:tc>
      </w:tr>
    </w:tbl>
    <w:p w14:paraId="39D7CE7E" w14:textId="77777777" w:rsidR="00051C16" w:rsidRDefault="00051C16">
      <w:pPr>
        <w:spacing w:after="20"/>
      </w:pPr>
    </w:p>
    <w:tbl>
      <w:tblPr>
        <w:tblStyle w:val="TableGrid"/>
        <w:tblW w:w="0" w:type="auto"/>
        <w:jc w:val="center"/>
        <w:tblLook w:val="04A0" w:firstRow="1" w:lastRow="0" w:firstColumn="1" w:lastColumn="0" w:noHBand="0" w:noVBand="1"/>
      </w:tblPr>
      <w:tblGrid>
        <w:gridCol w:w="10166"/>
      </w:tblGrid>
      <w:tr w:rsidR="00051C16" w14:paraId="1BEE1A75" w14:textId="77777777">
        <w:trPr>
          <w:tblHeader/>
          <w:jc w:val="center"/>
        </w:trPr>
        <w:tc>
          <w:tcPr>
            <w:tcW w:w="10166" w:type="dxa"/>
            <w:shd w:val="clear" w:color="auto" w:fill="F5F7F9"/>
          </w:tcPr>
          <w:p w14:paraId="27199822" w14:textId="77777777" w:rsidR="00051C16" w:rsidRDefault="00000000">
            <w:pPr>
              <w:spacing w:after="40"/>
            </w:pPr>
            <w:r>
              <w:rPr>
                <w:b/>
                <w:color w:val="1F4E6E"/>
              </w:rPr>
              <w:t>Lineage principle</w:t>
            </w:r>
            <w:r>
              <w:rPr>
                <w:sz w:val="17"/>
              </w:rPr>
              <w:t xml:space="preserve">  Raw data remains the reference point; cleaned data is the validated source layer; analytical data is the decision-analysis layer.</w:t>
            </w:r>
          </w:p>
        </w:tc>
      </w:tr>
    </w:tbl>
    <w:p w14:paraId="1879C6A2" w14:textId="77777777" w:rsidR="00051C16" w:rsidRDefault="00051C16">
      <w:pPr>
        <w:spacing w:after="20"/>
      </w:pPr>
    </w:p>
    <w:p w14:paraId="12C5FD4F" w14:textId="77777777" w:rsidR="00051C16" w:rsidRDefault="00000000">
      <w:pPr>
        <w:pStyle w:val="Heading1"/>
      </w:pPr>
      <w:r>
        <w:lastRenderedPageBreak/>
        <w:t>5. Data Preparation &amp; Quality Assessment</w:t>
      </w:r>
    </w:p>
    <w:p w14:paraId="50938BFA" w14:textId="77777777" w:rsidR="00051C16" w:rsidRDefault="00000000">
      <w:r>
        <w:t>The data preparation phase was treated as an analytical control, not a cosmetic cleanup exercise. The objective was to make the data reliable enough for financial analysis while avoiding the removal of valid business information.</w:t>
      </w:r>
    </w:p>
    <w:p w14:paraId="476DCC36" w14:textId="77777777" w:rsidR="00051C16" w:rsidRDefault="00000000">
      <w:pPr>
        <w:pStyle w:val="Heading2"/>
      </w:pPr>
      <w:r>
        <w:t>5.1 Major Data-Quality Issues Identified</w:t>
      </w:r>
    </w:p>
    <w:tbl>
      <w:tblPr>
        <w:tblStyle w:val="TableGrid"/>
        <w:tblW w:w="0" w:type="auto"/>
        <w:jc w:val="center"/>
        <w:tblLook w:val="04A0" w:firstRow="1" w:lastRow="0" w:firstColumn="1" w:lastColumn="0" w:noHBand="0" w:noVBand="1"/>
      </w:tblPr>
      <w:tblGrid>
        <w:gridCol w:w="2232"/>
        <w:gridCol w:w="4680"/>
        <w:gridCol w:w="2304"/>
      </w:tblGrid>
      <w:tr w:rsidR="00051C16" w14:paraId="104123B3" w14:textId="77777777">
        <w:trPr>
          <w:tblHeader/>
          <w:jc w:val="center"/>
        </w:trPr>
        <w:tc>
          <w:tcPr>
            <w:tcW w:w="2232" w:type="dxa"/>
            <w:shd w:val="clear" w:color="auto" w:fill="1F4E6E"/>
            <w:vAlign w:val="center"/>
          </w:tcPr>
          <w:p w14:paraId="5A401E04" w14:textId="77777777" w:rsidR="00051C16" w:rsidRDefault="00000000">
            <w:pPr>
              <w:jc w:val="center"/>
            </w:pPr>
            <w:r>
              <w:rPr>
                <w:b/>
                <w:color w:val="FFFFFF"/>
                <w:sz w:val="16"/>
              </w:rPr>
              <w:t>Issue category</w:t>
            </w:r>
          </w:p>
        </w:tc>
        <w:tc>
          <w:tcPr>
            <w:tcW w:w="4680" w:type="dxa"/>
            <w:shd w:val="clear" w:color="auto" w:fill="1F4E6E"/>
            <w:vAlign w:val="center"/>
          </w:tcPr>
          <w:p w14:paraId="68CC5698" w14:textId="77777777" w:rsidR="00051C16" w:rsidRDefault="00000000">
            <w:pPr>
              <w:jc w:val="center"/>
            </w:pPr>
            <w:r>
              <w:rPr>
                <w:b/>
                <w:color w:val="FFFFFF"/>
                <w:sz w:val="16"/>
              </w:rPr>
              <w:t>Examples observed</w:t>
            </w:r>
          </w:p>
        </w:tc>
        <w:tc>
          <w:tcPr>
            <w:tcW w:w="2304" w:type="dxa"/>
            <w:shd w:val="clear" w:color="auto" w:fill="1F4E6E"/>
            <w:vAlign w:val="center"/>
          </w:tcPr>
          <w:p w14:paraId="0222E894" w14:textId="77777777" w:rsidR="00051C16" w:rsidRDefault="00000000">
            <w:pPr>
              <w:jc w:val="center"/>
            </w:pPr>
            <w:r>
              <w:rPr>
                <w:b/>
                <w:color w:val="FFFFFF"/>
                <w:sz w:val="16"/>
              </w:rPr>
              <w:t>Analytical risk</w:t>
            </w:r>
          </w:p>
        </w:tc>
      </w:tr>
      <w:tr w:rsidR="00051C16" w14:paraId="07D1A772" w14:textId="77777777">
        <w:trPr>
          <w:jc w:val="center"/>
        </w:trPr>
        <w:tc>
          <w:tcPr>
            <w:tcW w:w="2232" w:type="dxa"/>
            <w:vAlign w:val="center"/>
          </w:tcPr>
          <w:p w14:paraId="2E034AC5" w14:textId="77777777" w:rsidR="00051C16" w:rsidRDefault="00000000">
            <w:r>
              <w:rPr>
                <w:b/>
                <w:sz w:val="15"/>
              </w:rPr>
              <w:t>Text / classification</w:t>
            </w:r>
          </w:p>
        </w:tc>
        <w:tc>
          <w:tcPr>
            <w:tcW w:w="4680" w:type="dxa"/>
            <w:vAlign w:val="center"/>
          </w:tcPr>
          <w:p w14:paraId="4F582FA6" w14:textId="77777777" w:rsidR="00051C16" w:rsidRDefault="00000000">
            <w:r>
              <w:rPr>
                <w:sz w:val="15"/>
              </w:rPr>
              <w:t>Spaces, capitalization differences, abbreviations, name variants, inconsistent classifications</w:t>
            </w:r>
          </w:p>
        </w:tc>
        <w:tc>
          <w:tcPr>
            <w:tcW w:w="2304" w:type="dxa"/>
            <w:vAlign w:val="center"/>
          </w:tcPr>
          <w:p w14:paraId="0528C31B" w14:textId="77777777" w:rsidR="00051C16" w:rsidRDefault="00000000">
            <w:r>
              <w:rPr>
                <w:sz w:val="15"/>
              </w:rPr>
              <w:t>Fragmented groupings and unreliable dimensional analysis</w:t>
            </w:r>
          </w:p>
        </w:tc>
      </w:tr>
      <w:tr w:rsidR="00051C16" w14:paraId="096806CD" w14:textId="77777777">
        <w:trPr>
          <w:jc w:val="center"/>
        </w:trPr>
        <w:tc>
          <w:tcPr>
            <w:tcW w:w="2232" w:type="dxa"/>
            <w:shd w:val="clear" w:color="auto" w:fill="F5F7F9"/>
            <w:vAlign w:val="center"/>
          </w:tcPr>
          <w:p w14:paraId="11118294" w14:textId="77777777" w:rsidR="00051C16" w:rsidRDefault="00000000">
            <w:r>
              <w:rPr>
                <w:b/>
                <w:sz w:val="15"/>
              </w:rPr>
              <w:t>Numeric values</w:t>
            </w:r>
          </w:p>
        </w:tc>
        <w:tc>
          <w:tcPr>
            <w:tcW w:w="4680" w:type="dxa"/>
            <w:shd w:val="clear" w:color="auto" w:fill="F5F7F9"/>
            <w:vAlign w:val="center"/>
          </w:tcPr>
          <w:p w14:paraId="67CB2A26" w14:textId="77777777" w:rsidR="00051C16" w:rsidRDefault="00000000">
            <w:r>
              <w:rPr>
                <w:sz w:val="15"/>
              </w:rPr>
              <w:t>Numbers stored as text; suspicious prices or discounts</w:t>
            </w:r>
          </w:p>
        </w:tc>
        <w:tc>
          <w:tcPr>
            <w:tcW w:w="2304" w:type="dxa"/>
            <w:shd w:val="clear" w:color="auto" w:fill="F5F7F9"/>
            <w:vAlign w:val="center"/>
          </w:tcPr>
          <w:p w14:paraId="781CF175" w14:textId="77777777" w:rsidR="00051C16" w:rsidRDefault="00000000">
            <w:r>
              <w:rPr>
                <w:sz w:val="15"/>
              </w:rPr>
              <w:t>Incorrect calculations or distorted financial measures</w:t>
            </w:r>
          </w:p>
        </w:tc>
      </w:tr>
      <w:tr w:rsidR="00051C16" w14:paraId="11282FC8" w14:textId="77777777">
        <w:trPr>
          <w:jc w:val="center"/>
        </w:trPr>
        <w:tc>
          <w:tcPr>
            <w:tcW w:w="2232" w:type="dxa"/>
            <w:vAlign w:val="center"/>
          </w:tcPr>
          <w:p w14:paraId="76D98C29" w14:textId="77777777" w:rsidR="00051C16" w:rsidRDefault="00000000">
            <w:r>
              <w:rPr>
                <w:b/>
                <w:sz w:val="15"/>
              </w:rPr>
              <w:t>Dates</w:t>
            </w:r>
          </w:p>
        </w:tc>
        <w:tc>
          <w:tcPr>
            <w:tcW w:w="4680" w:type="dxa"/>
            <w:vAlign w:val="center"/>
          </w:tcPr>
          <w:p w14:paraId="12E2E8C0" w14:textId="77777777" w:rsidR="00051C16" w:rsidRDefault="00000000">
            <w:r>
              <w:rPr>
                <w:sz w:val="15"/>
              </w:rPr>
              <w:t>Multiple date formats, missing dates, transactions outside H1</w:t>
            </w:r>
          </w:p>
        </w:tc>
        <w:tc>
          <w:tcPr>
            <w:tcW w:w="2304" w:type="dxa"/>
            <w:vAlign w:val="center"/>
          </w:tcPr>
          <w:p w14:paraId="2607B7F0" w14:textId="77777777" w:rsidR="00051C16" w:rsidRDefault="00000000">
            <w:r>
              <w:rPr>
                <w:sz w:val="15"/>
              </w:rPr>
              <w:t>Incorrect period inclusion/exclusion</w:t>
            </w:r>
          </w:p>
        </w:tc>
      </w:tr>
      <w:tr w:rsidR="00051C16" w14:paraId="4254074D" w14:textId="77777777">
        <w:trPr>
          <w:jc w:val="center"/>
        </w:trPr>
        <w:tc>
          <w:tcPr>
            <w:tcW w:w="2232" w:type="dxa"/>
            <w:shd w:val="clear" w:color="auto" w:fill="F5F7F9"/>
            <w:vAlign w:val="center"/>
          </w:tcPr>
          <w:p w14:paraId="4DBDCAF8" w14:textId="77777777" w:rsidR="00051C16" w:rsidRDefault="00000000">
            <w:r>
              <w:rPr>
                <w:b/>
                <w:sz w:val="15"/>
              </w:rPr>
              <w:t>Keys / relationships</w:t>
            </w:r>
          </w:p>
        </w:tc>
        <w:tc>
          <w:tcPr>
            <w:tcW w:w="4680" w:type="dxa"/>
            <w:shd w:val="clear" w:color="auto" w:fill="F5F7F9"/>
            <w:vAlign w:val="center"/>
          </w:tcPr>
          <w:p w14:paraId="05207898" w14:textId="77777777" w:rsidR="00051C16" w:rsidRDefault="00000000">
            <w:r>
              <w:rPr>
                <w:sz w:val="15"/>
              </w:rPr>
              <w:t>Invalid or unmatched CustomerID and ProductID values</w:t>
            </w:r>
          </w:p>
        </w:tc>
        <w:tc>
          <w:tcPr>
            <w:tcW w:w="2304" w:type="dxa"/>
            <w:shd w:val="clear" w:color="auto" w:fill="F5F7F9"/>
            <w:vAlign w:val="center"/>
          </w:tcPr>
          <w:p w14:paraId="49BF134B" w14:textId="77777777" w:rsidR="00051C16" w:rsidRDefault="00000000">
            <w:r>
              <w:rPr>
                <w:sz w:val="15"/>
              </w:rPr>
              <w:t>Unreliable customer/product attribution</w:t>
            </w:r>
          </w:p>
        </w:tc>
      </w:tr>
      <w:tr w:rsidR="00051C16" w14:paraId="1F29130C" w14:textId="77777777">
        <w:trPr>
          <w:jc w:val="center"/>
        </w:trPr>
        <w:tc>
          <w:tcPr>
            <w:tcW w:w="2232" w:type="dxa"/>
            <w:vAlign w:val="center"/>
          </w:tcPr>
          <w:p w14:paraId="2CA8F3C2" w14:textId="77777777" w:rsidR="00051C16" w:rsidRDefault="00000000">
            <w:r>
              <w:rPr>
                <w:b/>
                <w:sz w:val="15"/>
              </w:rPr>
              <w:t>Duplicates</w:t>
            </w:r>
          </w:p>
        </w:tc>
        <w:tc>
          <w:tcPr>
            <w:tcW w:w="4680" w:type="dxa"/>
            <w:vAlign w:val="center"/>
          </w:tcPr>
          <w:p w14:paraId="689C2AB2" w14:textId="77777777" w:rsidR="00051C16" w:rsidRDefault="00000000">
            <w:r>
              <w:rPr>
                <w:sz w:val="15"/>
              </w:rPr>
              <w:t>Exact duplicates and near-duplicates</w:t>
            </w:r>
          </w:p>
        </w:tc>
        <w:tc>
          <w:tcPr>
            <w:tcW w:w="2304" w:type="dxa"/>
            <w:vAlign w:val="center"/>
          </w:tcPr>
          <w:p w14:paraId="4A1EEAF8" w14:textId="77777777" w:rsidR="00051C16" w:rsidRDefault="00000000">
            <w:r>
              <w:rPr>
                <w:sz w:val="15"/>
              </w:rPr>
              <w:t>Double-counting or inappropriate deletion of valid repeat orders</w:t>
            </w:r>
          </w:p>
        </w:tc>
      </w:tr>
      <w:tr w:rsidR="00051C16" w14:paraId="37888965" w14:textId="77777777">
        <w:trPr>
          <w:jc w:val="center"/>
        </w:trPr>
        <w:tc>
          <w:tcPr>
            <w:tcW w:w="2232" w:type="dxa"/>
            <w:shd w:val="clear" w:color="auto" w:fill="F5F7F9"/>
            <w:vAlign w:val="center"/>
          </w:tcPr>
          <w:p w14:paraId="05CC7CDE" w14:textId="77777777" w:rsidR="00051C16" w:rsidRDefault="00000000">
            <w:r>
              <w:rPr>
                <w:b/>
                <w:sz w:val="15"/>
              </w:rPr>
              <w:t>Negative quantities</w:t>
            </w:r>
          </w:p>
        </w:tc>
        <w:tc>
          <w:tcPr>
            <w:tcW w:w="4680" w:type="dxa"/>
            <w:shd w:val="clear" w:color="auto" w:fill="F5F7F9"/>
            <w:vAlign w:val="center"/>
          </w:tcPr>
          <w:p w14:paraId="10DF0B65" w14:textId="77777777" w:rsidR="00051C16" w:rsidRDefault="00000000">
            <w:r>
              <w:rPr>
                <w:sz w:val="15"/>
              </w:rPr>
              <w:t>Occasional negative quantities</w:t>
            </w:r>
          </w:p>
        </w:tc>
        <w:tc>
          <w:tcPr>
            <w:tcW w:w="2304" w:type="dxa"/>
            <w:shd w:val="clear" w:color="auto" w:fill="F5F7F9"/>
            <w:vAlign w:val="center"/>
          </w:tcPr>
          <w:p w14:paraId="57C4E4C0" w14:textId="77777777" w:rsidR="00051C16" w:rsidRDefault="00000000">
            <w:r>
              <w:rPr>
                <w:sz w:val="15"/>
              </w:rPr>
              <w:t>Potential returns/adjustments or data-entry issue; meaning cannot be assumed</w:t>
            </w:r>
          </w:p>
        </w:tc>
      </w:tr>
      <w:tr w:rsidR="00051C16" w14:paraId="4C713E5A" w14:textId="77777777">
        <w:trPr>
          <w:jc w:val="center"/>
        </w:trPr>
        <w:tc>
          <w:tcPr>
            <w:tcW w:w="2232" w:type="dxa"/>
            <w:vAlign w:val="center"/>
          </w:tcPr>
          <w:p w14:paraId="0C0BB3E6" w14:textId="77777777" w:rsidR="00051C16" w:rsidRDefault="00000000">
            <w:r>
              <w:rPr>
                <w:b/>
                <w:sz w:val="15"/>
              </w:rPr>
              <w:t>Cost data</w:t>
            </w:r>
          </w:p>
        </w:tc>
        <w:tc>
          <w:tcPr>
            <w:tcW w:w="4680" w:type="dxa"/>
            <w:vAlign w:val="center"/>
          </w:tcPr>
          <w:p w14:paraId="3801279E" w14:textId="77777777" w:rsidR="00051C16" w:rsidRDefault="00000000">
            <w:r>
              <w:rPr>
                <w:sz w:val="15"/>
              </w:rPr>
              <w:t>Missing product-month cost observations; one missing product standard cost</w:t>
            </w:r>
          </w:p>
        </w:tc>
        <w:tc>
          <w:tcPr>
            <w:tcW w:w="2304" w:type="dxa"/>
            <w:vAlign w:val="center"/>
          </w:tcPr>
          <w:p w14:paraId="1F59A08F" w14:textId="77777777" w:rsidR="00051C16" w:rsidRDefault="00000000">
            <w:r>
              <w:rPr>
                <w:sz w:val="15"/>
              </w:rPr>
              <w:t>Potentially incomplete profitability calculations</w:t>
            </w:r>
          </w:p>
        </w:tc>
      </w:tr>
    </w:tbl>
    <w:p w14:paraId="2F71E993" w14:textId="77777777" w:rsidR="00051C16" w:rsidRDefault="00051C16">
      <w:pPr>
        <w:spacing w:after="20"/>
      </w:pPr>
    </w:p>
    <w:p w14:paraId="401A6EF0" w14:textId="77777777" w:rsidR="00051C16" w:rsidRDefault="00000000">
      <w:pPr>
        <w:pStyle w:val="Heading2"/>
      </w:pPr>
      <w:r>
        <w:t>5.2 Treatment Rules Applied</w:t>
      </w:r>
    </w:p>
    <w:tbl>
      <w:tblPr>
        <w:tblStyle w:val="TableGrid"/>
        <w:tblW w:w="0" w:type="auto"/>
        <w:jc w:val="center"/>
        <w:tblLook w:val="04A0" w:firstRow="1" w:lastRow="0" w:firstColumn="1" w:lastColumn="0" w:noHBand="0" w:noVBand="1"/>
      </w:tblPr>
      <w:tblGrid>
        <w:gridCol w:w="2520"/>
        <w:gridCol w:w="3816"/>
        <w:gridCol w:w="2880"/>
      </w:tblGrid>
      <w:tr w:rsidR="00051C16" w14:paraId="4B59358F" w14:textId="77777777">
        <w:trPr>
          <w:tblHeader/>
          <w:jc w:val="center"/>
        </w:trPr>
        <w:tc>
          <w:tcPr>
            <w:tcW w:w="2520" w:type="dxa"/>
            <w:shd w:val="clear" w:color="auto" w:fill="1F4E6E"/>
            <w:vAlign w:val="center"/>
          </w:tcPr>
          <w:p w14:paraId="511ED26A" w14:textId="77777777" w:rsidR="00051C16" w:rsidRDefault="00000000">
            <w:pPr>
              <w:jc w:val="center"/>
            </w:pPr>
            <w:r>
              <w:rPr>
                <w:b/>
                <w:color w:val="FFFFFF"/>
                <w:sz w:val="16"/>
              </w:rPr>
              <w:t>Issue / case</w:t>
            </w:r>
          </w:p>
        </w:tc>
        <w:tc>
          <w:tcPr>
            <w:tcW w:w="3816" w:type="dxa"/>
            <w:shd w:val="clear" w:color="auto" w:fill="1F4E6E"/>
            <w:vAlign w:val="center"/>
          </w:tcPr>
          <w:p w14:paraId="267B158F" w14:textId="77777777" w:rsidR="00051C16" w:rsidRDefault="00000000">
            <w:pPr>
              <w:jc w:val="center"/>
            </w:pPr>
            <w:r>
              <w:rPr>
                <w:b/>
                <w:color w:val="FFFFFF"/>
                <w:sz w:val="16"/>
              </w:rPr>
              <w:t>Treatment</w:t>
            </w:r>
          </w:p>
        </w:tc>
        <w:tc>
          <w:tcPr>
            <w:tcW w:w="2880" w:type="dxa"/>
            <w:shd w:val="clear" w:color="auto" w:fill="1F4E6E"/>
            <w:vAlign w:val="center"/>
          </w:tcPr>
          <w:p w14:paraId="5AF6DBC0" w14:textId="77777777" w:rsidR="00051C16" w:rsidRDefault="00000000">
            <w:pPr>
              <w:jc w:val="center"/>
            </w:pPr>
            <w:r>
              <w:rPr>
                <w:b/>
                <w:color w:val="FFFFFF"/>
                <w:sz w:val="16"/>
              </w:rPr>
              <w:t>Reasoning</w:t>
            </w:r>
          </w:p>
        </w:tc>
      </w:tr>
      <w:tr w:rsidR="00051C16" w14:paraId="34B0564B" w14:textId="77777777">
        <w:trPr>
          <w:jc w:val="center"/>
        </w:trPr>
        <w:tc>
          <w:tcPr>
            <w:tcW w:w="2520" w:type="dxa"/>
            <w:vAlign w:val="center"/>
          </w:tcPr>
          <w:p w14:paraId="38687C80" w14:textId="77777777" w:rsidR="00051C16" w:rsidRDefault="00000000">
            <w:r>
              <w:rPr>
                <w:b/>
                <w:sz w:val="15"/>
              </w:rPr>
              <w:t>Confirmed formatting / classification issue</w:t>
            </w:r>
          </w:p>
        </w:tc>
        <w:tc>
          <w:tcPr>
            <w:tcW w:w="3816" w:type="dxa"/>
            <w:vAlign w:val="center"/>
          </w:tcPr>
          <w:p w14:paraId="1B7D1444" w14:textId="77777777" w:rsidR="00051C16" w:rsidRDefault="00000000">
            <w:r>
              <w:rPr>
                <w:sz w:val="15"/>
              </w:rPr>
              <w:t>Standardized to validated format</w:t>
            </w:r>
          </w:p>
        </w:tc>
        <w:tc>
          <w:tcPr>
            <w:tcW w:w="2880" w:type="dxa"/>
            <w:vAlign w:val="center"/>
          </w:tcPr>
          <w:p w14:paraId="287F3F69" w14:textId="77777777" w:rsidR="00051C16" w:rsidRDefault="00000000">
            <w:r>
              <w:rPr>
                <w:sz w:val="15"/>
              </w:rPr>
              <w:t>Improves consistency without changing business meaning</w:t>
            </w:r>
          </w:p>
        </w:tc>
      </w:tr>
      <w:tr w:rsidR="00051C16" w14:paraId="65B4B454" w14:textId="77777777">
        <w:trPr>
          <w:jc w:val="center"/>
        </w:trPr>
        <w:tc>
          <w:tcPr>
            <w:tcW w:w="2520" w:type="dxa"/>
            <w:shd w:val="clear" w:color="auto" w:fill="F5F7F9"/>
            <w:vAlign w:val="center"/>
          </w:tcPr>
          <w:p w14:paraId="6BEB4918" w14:textId="77777777" w:rsidR="00051C16" w:rsidRDefault="00000000">
            <w:r>
              <w:rPr>
                <w:b/>
                <w:sz w:val="15"/>
              </w:rPr>
              <w:t>Confirmed GrossRevenue / NetRevenue error</w:t>
            </w:r>
          </w:p>
        </w:tc>
        <w:tc>
          <w:tcPr>
            <w:tcW w:w="3816" w:type="dxa"/>
            <w:shd w:val="clear" w:color="auto" w:fill="F5F7F9"/>
            <w:vAlign w:val="center"/>
          </w:tcPr>
          <w:p w14:paraId="3C60135B" w14:textId="77777777" w:rsidR="00051C16" w:rsidRDefault="00000000">
            <w:r>
              <w:rPr>
                <w:sz w:val="15"/>
              </w:rPr>
              <w:t>Corrected in analytical fields</w:t>
            </w:r>
          </w:p>
        </w:tc>
        <w:tc>
          <w:tcPr>
            <w:tcW w:w="2880" w:type="dxa"/>
            <w:shd w:val="clear" w:color="auto" w:fill="F5F7F9"/>
            <w:vAlign w:val="center"/>
          </w:tcPr>
          <w:p w14:paraId="4CD36ACA" w14:textId="77777777" w:rsidR="00051C16" w:rsidRDefault="00000000">
            <w:r>
              <w:rPr>
                <w:sz w:val="15"/>
              </w:rPr>
              <w:t>Evidence supported a reliable recalculation</w:t>
            </w:r>
          </w:p>
        </w:tc>
      </w:tr>
      <w:tr w:rsidR="00051C16" w14:paraId="0B806455" w14:textId="77777777">
        <w:trPr>
          <w:jc w:val="center"/>
        </w:trPr>
        <w:tc>
          <w:tcPr>
            <w:tcW w:w="2520" w:type="dxa"/>
            <w:vAlign w:val="center"/>
          </w:tcPr>
          <w:p w14:paraId="6076D866" w14:textId="77777777" w:rsidR="00051C16" w:rsidRDefault="00000000">
            <w:r>
              <w:rPr>
                <w:b/>
                <w:sz w:val="15"/>
              </w:rPr>
              <w:t>Missing / unusable transaction date</w:t>
            </w:r>
          </w:p>
        </w:tc>
        <w:tc>
          <w:tcPr>
            <w:tcW w:w="3816" w:type="dxa"/>
            <w:vAlign w:val="center"/>
          </w:tcPr>
          <w:p w14:paraId="4A58B1BF" w14:textId="77777777" w:rsidR="00051C16" w:rsidRDefault="00000000">
            <w:r>
              <w:rPr>
                <w:sz w:val="15"/>
              </w:rPr>
              <w:t>Excluded from H1 analytical population</w:t>
            </w:r>
          </w:p>
        </w:tc>
        <w:tc>
          <w:tcPr>
            <w:tcW w:w="2880" w:type="dxa"/>
            <w:vAlign w:val="center"/>
          </w:tcPr>
          <w:p w14:paraId="47A7CD6B" w14:textId="77777777" w:rsidR="00051C16" w:rsidRDefault="00000000">
            <w:r>
              <w:rPr>
                <w:sz w:val="15"/>
              </w:rPr>
              <w:t>Cannot safely assign to H1 without a defensible period basis</w:t>
            </w:r>
          </w:p>
        </w:tc>
      </w:tr>
      <w:tr w:rsidR="00051C16" w14:paraId="050627B9" w14:textId="77777777">
        <w:trPr>
          <w:jc w:val="center"/>
        </w:trPr>
        <w:tc>
          <w:tcPr>
            <w:tcW w:w="2520" w:type="dxa"/>
            <w:shd w:val="clear" w:color="auto" w:fill="F5F7F9"/>
            <w:vAlign w:val="center"/>
          </w:tcPr>
          <w:p w14:paraId="5795B7EA" w14:textId="77777777" w:rsidR="00051C16" w:rsidRDefault="00000000">
            <w:r>
              <w:rPr>
                <w:b/>
                <w:sz w:val="15"/>
              </w:rPr>
              <w:t>Unmatched CustomerID / ProductID</w:t>
            </w:r>
          </w:p>
        </w:tc>
        <w:tc>
          <w:tcPr>
            <w:tcW w:w="3816" w:type="dxa"/>
            <w:shd w:val="clear" w:color="auto" w:fill="F5F7F9"/>
            <w:vAlign w:val="center"/>
          </w:tcPr>
          <w:p w14:paraId="25BD7E33" w14:textId="77777777" w:rsidR="00051C16" w:rsidRDefault="00000000">
            <w:r>
              <w:rPr>
                <w:sz w:val="15"/>
              </w:rPr>
              <w:t>Retained for overall valid-dated analysis where appropriate; excluded from reliable dimension attribution</w:t>
            </w:r>
          </w:p>
        </w:tc>
        <w:tc>
          <w:tcPr>
            <w:tcW w:w="2880" w:type="dxa"/>
            <w:shd w:val="clear" w:color="auto" w:fill="F5F7F9"/>
            <w:vAlign w:val="center"/>
          </w:tcPr>
          <w:p w14:paraId="719F3D78" w14:textId="77777777" w:rsidR="00051C16" w:rsidRDefault="00000000">
            <w:r>
              <w:rPr>
                <w:sz w:val="15"/>
              </w:rPr>
              <w:t>Avoids unnecessary data loss while protecting attribution quality</w:t>
            </w:r>
          </w:p>
        </w:tc>
      </w:tr>
      <w:tr w:rsidR="00051C16" w14:paraId="5BBFDD0A" w14:textId="77777777">
        <w:trPr>
          <w:jc w:val="center"/>
        </w:trPr>
        <w:tc>
          <w:tcPr>
            <w:tcW w:w="2520" w:type="dxa"/>
            <w:vAlign w:val="center"/>
          </w:tcPr>
          <w:p w14:paraId="582E92E3" w14:textId="77777777" w:rsidR="00051C16" w:rsidRDefault="00000000">
            <w:r>
              <w:rPr>
                <w:b/>
                <w:sz w:val="15"/>
              </w:rPr>
              <w:t>Negative quantity</w:t>
            </w:r>
          </w:p>
        </w:tc>
        <w:tc>
          <w:tcPr>
            <w:tcW w:w="3816" w:type="dxa"/>
            <w:vAlign w:val="center"/>
          </w:tcPr>
          <w:p w14:paraId="0DC5EE87" w14:textId="77777777" w:rsidR="00051C16" w:rsidRDefault="00000000">
            <w:r>
              <w:rPr>
                <w:sz w:val="15"/>
              </w:rPr>
              <w:t>Original record preserved; revenue fields treated as missing where business meaning was not established</w:t>
            </w:r>
          </w:p>
        </w:tc>
        <w:tc>
          <w:tcPr>
            <w:tcW w:w="2880" w:type="dxa"/>
            <w:vAlign w:val="center"/>
          </w:tcPr>
          <w:p w14:paraId="7D5C5F45" w14:textId="77777777" w:rsidR="00051C16" w:rsidRDefault="00000000">
            <w:r>
              <w:rPr>
                <w:sz w:val="15"/>
              </w:rPr>
              <w:t>Avoids inventing a return/reversal interpretation</w:t>
            </w:r>
          </w:p>
        </w:tc>
      </w:tr>
      <w:tr w:rsidR="00051C16" w14:paraId="112664B0" w14:textId="77777777">
        <w:trPr>
          <w:jc w:val="center"/>
        </w:trPr>
        <w:tc>
          <w:tcPr>
            <w:tcW w:w="2520" w:type="dxa"/>
            <w:shd w:val="clear" w:color="auto" w:fill="F5F7F9"/>
            <w:vAlign w:val="center"/>
          </w:tcPr>
          <w:p w14:paraId="6A8FB5F3" w14:textId="77777777" w:rsidR="00051C16" w:rsidRDefault="00000000">
            <w:r>
              <w:rPr>
                <w:b/>
                <w:sz w:val="15"/>
              </w:rPr>
              <w:t>Exact duplicate</w:t>
            </w:r>
          </w:p>
        </w:tc>
        <w:tc>
          <w:tcPr>
            <w:tcW w:w="3816" w:type="dxa"/>
            <w:shd w:val="clear" w:color="auto" w:fill="F5F7F9"/>
            <w:vAlign w:val="center"/>
          </w:tcPr>
          <w:p w14:paraId="26442C02" w14:textId="77777777" w:rsidR="00051C16" w:rsidRDefault="00000000">
            <w:r>
              <w:rPr>
                <w:sz w:val="15"/>
              </w:rPr>
              <w:t>Removed from cleaned dataset</w:t>
            </w:r>
          </w:p>
        </w:tc>
        <w:tc>
          <w:tcPr>
            <w:tcW w:w="2880" w:type="dxa"/>
            <w:shd w:val="clear" w:color="auto" w:fill="F5F7F9"/>
            <w:vAlign w:val="center"/>
          </w:tcPr>
          <w:p w14:paraId="2058FE74" w14:textId="77777777" w:rsidR="00051C16" w:rsidRDefault="00000000">
            <w:r>
              <w:rPr>
                <w:sz w:val="15"/>
              </w:rPr>
              <w:t>Supported as duplicate records</w:t>
            </w:r>
          </w:p>
        </w:tc>
      </w:tr>
      <w:tr w:rsidR="00051C16" w14:paraId="44477857" w14:textId="77777777">
        <w:trPr>
          <w:jc w:val="center"/>
        </w:trPr>
        <w:tc>
          <w:tcPr>
            <w:tcW w:w="2520" w:type="dxa"/>
            <w:vAlign w:val="center"/>
          </w:tcPr>
          <w:p w14:paraId="08F15E6D" w14:textId="77777777" w:rsidR="00051C16" w:rsidRDefault="00000000">
            <w:r>
              <w:rPr>
                <w:b/>
                <w:sz w:val="15"/>
              </w:rPr>
              <w:t>Near duplicate</w:t>
            </w:r>
          </w:p>
        </w:tc>
        <w:tc>
          <w:tcPr>
            <w:tcW w:w="3816" w:type="dxa"/>
            <w:vAlign w:val="center"/>
          </w:tcPr>
          <w:p w14:paraId="2EC02EB3" w14:textId="77777777" w:rsidR="00051C16" w:rsidRDefault="00000000">
            <w:r>
              <w:rPr>
                <w:sz w:val="15"/>
              </w:rPr>
              <w:t>Investigated individually; not auto-deleted</w:t>
            </w:r>
          </w:p>
        </w:tc>
        <w:tc>
          <w:tcPr>
            <w:tcW w:w="2880" w:type="dxa"/>
            <w:vAlign w:val="center"/>
          </w:tcPr>
          <w:p w14:paraId="1DCC5E39" w14:textId="77777777" w:rsidR="00051C16" w:rsidRDefault="00000000">
            <w:r>
              <w:rPr>
                <w:sz w:val="15"/>
              </w:rPr>
              <w:t>Could represent legitimate repeated orders</w:t>
            </w:r>
          </w:p>
        </w:tc>
      </w:tr>
      <w:tr w:rsidR="00051C16" w14:paraId="144E5055" w14:textId="77777777">
        <w:trPr>
          <w:jc w:val="center"/>
        </w:trPr>
        <w:tc>
          <w:tcPr>
            <w:tcW w:w="2520" w:type="dxa"/>
            <w:shd w:val="clear" w:color="auto" w:fill="F5F7F9"/>
            <w:vAlign w:val="center"/>
          </w:tcPr>
          <w:p w14:paraId="04E06DF6" w14:textId="77777777" w:rsidR="00051C16" w:rsidRDefault="00000000">
            <w:r>
              <w:rPr>
                <w:b/>
                <w:sz w:val="15"/>
              </w:rPr>
              <w:t>Missing product-month cost</w:t>
            </w:r>
          </w:p>
        </w:tc>
        <w:tc>
          <w:tcPr>
            <w:tcW w:w="3816" w:type="dxa"/>
            <w:shd w:val="clear" w:color="auto" w:fill="F5F7F9"/>
            <w:vAlign w:val="center"/>
          </w:tcPr>
          <w:p w14:paraId="30E72D5E" w14:textId="77777777" w:rsidR="00051C16" w:rsidRDefault="00000000">
            <w:r>
              <w:rPr>
                <w:sz w:val="15"/>
              </w:rPr>
              <w:t>Imputed where H1 evidence supported the estimate and explicitly flagged</w:t>
            </w:r>
          </w:p>
        </w:tc>
        <w:tc>
          <w:tcPr>
            <w:tcW w:w="2880" w:type="dxa"/>
            <w:shd w:val="clear" w:color="auto" w:fill="F5F7F9"/>
            <w:vAlign w:val="center"/>
          </w:tcPr>
          <w:p w14:paraId="2FC42F10" w14:textId="77777777" w:rsidR="00051C16" w:rsidRDefault="00000000">
            <w:r>
              <w:rPr>
                <w:sz w:val="15"/>
              </w:rPr>
              <w:t>Maintains analytical coverage while preserving transparency</w:t>
            </w:r>
          </w:p>
        </w:tc>
      </w:tr>
      <w:tr w:rsidR="00051C16" w14:paraId="3A6CE599" w14:textId="77777777">
        <w:trPr>
          <w:jc w:val="center"/>
        </w:trPr>
        <w:tc>
          <w:tcPr>
            <w:tcW w:w="2520" w:type="dxa"/>
            <w:vAlign w:val="center"/>
          </w:tcPr>
          <w:p w14:paraId="1B6C865A" w14:textId="77777777" w:rsidR="00051C16" w:rsidRDefault="00000000">
            <w:r>
              <w:rPr>
                <w:b/>
                <w:sz w:val="15"/>
              </w:rPr>
              <w:t>P-SI-008 missing StdVarCost in product master</w:t>
            </w:r>
          </w:p>
        </w:tc>
        <w:tc>
          <w:tcPr>
            <w:tcW w:w="3816" w:type="dxa"/>
            <w:vAlign w:val="center"/>
          </w:tcPr>
          <w:p w14:paraId="2D6AEA63" w14:textId="77777777" w:rsidR="00051C16" w:rsidRDefault="00000000">
            <w:r>
              <w:rPr>
                <w:sz w:val="15"/>
              </w:rPr>
              <w:t>Supported at $385 using available H1 variable standard-cost evidence</w:t>
            </w:r>
          </w:p>
        </w:tc>
        <w:tc>
          <w:tcPr>
            <w:tcW w:w="2880" w:type="dxa"/>
            <w:vAlign w:val="center"/>
          </w:tcPr>
          <w:p w14:paraId="79AE9A93" w14:textId="77777777" w:rsidR="00051C16" w:rsidRDefault="00000000">
            <w:r>
              <w:rPr>
                <w:sz w:val="15"/>
              </w:rPr>
              <w:t>Evidence-based completion of a missing master-data field</w:t>
            </w:r>
          </w:p>
        </w:tc>
      </w:tr>
    </w:tbl>
    <w:p w14:paraId="7EB10382" w14:textId="77777777" w:rsidR="00051C16" w:rsidRDefault="00051C16">
      <w:pPr>
        <w:spacing w:after="20"/>
      </w:pPr>
    </w:p>
    <w:p w14:paraId="67E085C4" w14:textId="77777777" w:rsidR="00051C16" w:rsidRDefault="00000000">
      <w:pPr>
        <w:pStyle w:val="Heading2"/>
      </w:pPr>
      <w:r>
        <w:t>5.3 Data-Quality Principle</w:t>
      </w:r>
    </w:p>
    <w:tbl>
      <w:tblPr>
        <w:tblStyle w:val="TableGrid"/>
        <w:tblW w:w="0" w:type="auto"/>
        <w:jc w:val="center"/>
        <w:tblLook w:val="04A0" w:firstRow="1" w:lastRow="0" w:firstColumn="1" w:lastColumn="0" w:noHBand="0" w:noVBand="1"/>
      </w:tblPr>
      <w:tblGrid>
        <w:gridCol w:w="10166"/>
      </w:tblGrid>
      <w:tr w:rsidR="00051C16" w14:paraId="4ADE9376" w14:textId="77777777">
        <w:trPr>
          <w:tblHeader/>
          <w:jc w:val="center"/>
        </w:trPr>
        <w:tc>
          <w:tcPr>
            <w:tcW w:w="10166" w:type="dxa"/>
            <w:shd w:val="clear" w:color="auto" w:fill="FFF7E6"/>
          </w:tcPr>
          <w:p w14:paraId="2B788DA4" w14:textId="77777777" w:rsidR="00051C16" w:rsidRDefault="00000000">
            <w:pPr>
              <w:spacing w:after="40"/>
            </w:pPr>
            <w:r>
              <w:rPr>
                <w:b/>
                <w:color w:val="A15C00"/>
              </w:rPr>
              <w:t>Key judgment rule</w:t>
            </w:r>
            <w:r>
              <w:rPr>
                <w:sz w:val="17"/>
              </w:rPr>
              <w:t xml:space="preserve">  Anomalous does not necessarily mean incorrect. Each material exception was assessed as a data issue, a genuine business signal, or an ambiguous case.</w:t>
            </w:r>
          </w:p>
        </w:tc>
      </w:tr>
    </w:tbl>
    <w:p w14:paraId="57CBE943" w14:textId="77777777" w:rsidR="00051C16" w:rsidRDefault="00051C16">
      <w:pPr>
        <w:spacing w:after="20"/>
      </w:pPr>
    </w:p>
    <w:p w14:paraId="44C08F8C" w14:textId="77777777" w:rsidR="00051C16" w:rsidRDefault="00000000">
      <w:r>
        <w:t>The resulting analytical population therefore reflects not only cleaning decisions, but documented judgment. This is important because aggressive deletion could artificially improve apparent data quality while removing genuine business events.</w:t>
      </w:r>
    </w:p>
    <w:p w14:paraId="2A4FD064" w14:textId="77777777" w:rsidR="00051C16" w:rsidRDefault="00000000">
      <w:pPr>
        <w:pStyle w:val="Heading1"/>
      </w:pPr>
      <w:r>
        <w:lastRenderedPageBreak/>
        <w:t>6. Financial Definitions &amp; Analytical Methodology</w:t>
      </w:r>
    </w:p>
    <w:p w14:paraId="52FA60B2" w14:textId="77777777" w:rsidR="00051C16" w:rsidRDefault="00000000">
      <w:pPr>
        <w:pStyle w:val="Heading2"/>
      </w:pPr>
      <w:r>
        <w:t>6.1 Analytical Workflow</w:t>
      </w:r>
    </w:p>
    <w:tbl>
      <w:tblPr>
        <w:tblStyle w:val="TableGrid"/>
        <w:tblW w:w="0" w:type="auto"/>
        <w:jc w:val="center"/>
        <w:tblLook w:val="04A0" w:firstRow="1" w:lastRow="0" w:firstColumn="1" w:lastColumn="0" w:noHBand="0" w:noVBand="1"/>
      </w:tblPr>
      <w:tblGrid>
        <w:gridCol w:w="1872"/>
        <w:gridCol w:w="4896"/>
        <w:gridCol w:w="2520"/>
      </w:tblGrid>
      <w:tr w:rsidR="00051C16" w14:paraId="1CDF9AF2" w14:textId="77777777">
        <w:trPr>
          <w:tblHeader/>
          <w:jc w:val="center"/>
        </w:trPr>
        <w:tc>
          <w:tcPr>
            <w:tcW w:w="1872" w:type="dxa"/>
            <w:shd w:val="clear" w:color="auto" w:fill="1F4E6E"/>
            <w:vAlign w:val="center"/>
          </w:tcPr>
          <w:p w14:paraId="6A5C7ABB" w14:textId="77777777" w:rsidR="00051C16" w:rsidRDefault="00000000">
            <w:pPr>
              <w:jc w:val="center"/>
            </w:pPr>
            <w:r>
              <w:rPr>
                <w:b/>
                <w:color w:val="FFFFFF"/>
                <w:sz w:val="16"/>
              </w:rPr>
              <w:t>Step</w:t>
            </w:r>
          </w:p>
        </w:tc>
        <w:tc>
          <w:tcPr>
            <w:tcW w:w="4896" w:type="dxa"/>
            <w:shd w:val="clear" w:color="auto" w:fill="1F4E6E"/>
            <w:vAlign w:val="center"/>
          </w:tcPr>
          <w:p w14:paraId="78DD519D" w14:textId="77777777" w:rsidR="00051C16" w:rsidRDefault="00000000">
            <w:pPr>
              <w:jc w:val="center"/>
            </w:pPr>
            <w:r>
              <w:rPr>
                <w:b/>
                <w:color w:val="FFFFFF"/>
                <w:sz w:val="16"/>
              </w:rPr>
              <w:t>Purpose</w:t>
            </w:r>
          </w:p>
        </w:tc>
        <w:tc>
          <w:tcPr>
            <w:tcW w:w="2520" w:type="dxa"/>
            <w:shd w:val="clear" w:color="auto" w:fill="1F4E6E"/>
            <w:vAlign w:val="center"/>
          </w:tcPr>
          <w:p w14:paraId="5D90F3A3" w14:textId="77777777" w:rsidR="00051C16" w:rsidRDefault="00000000">
            <w:pPr>
              <w:jc w:val="center"/>
            </w:pPr>
            <w:r>
              <w:rPr>
                <w:b/>
                <w:color w:val="FFFFFF"/>
                <w:sz w:val="16"/>
              </w:rPr>
              <w:t>Primary output</w:t>
            </w:r>
          </w:p>
        </w:tc>
      </w:tr>
      <w:tr w:rsidR="00051C16" w14:paraId="31CF9D99" w14:textId="77777777">
        <w:trPr>
          <w:jc w:val="center"/>
        </w:trPr>
        <w:tc>
          <w:tcPr>
            <w:tcW w:w="1872" w:type="dxa"/>
            <w:vAlign w:val="center"/>
          </w:tcPr>
          <w:p w14:paraId="4947EA83" w14:textId="77777777" w:rsidR="00051C16" w:rsidRDefault="00000000">
            <w:r>
              <w:rPr>
                <w:b/>
                <w:sz w:val="15"/>
              </w:rPr>
              <w:t>1. Data readiness</w:t>
            </w:r>
          </w:p>
        </w:tc>
        <w:tc>
          <w:tcPr>
            <w:tcW w:w="4896" w:type="dxa"/>
            <w:vAlign w:val="center"/>
          </w:tcPr>
          <w:p w14:paraId="66FC910F" w14:textId="77777777" w:rsidR="00051C16" w:rsidRDefault="00000000">
            <w:r>
              <w:rPr>
                <w:sz w:val="15"/>
              </w:rPr>
              <w:t>Validate data quality, relationships, period scope, and completeness.</w:t>
            </w:r>
          </w:p>
        </w:tc>
        <w:tc>
          <w:tcPr>
            <w:tcW w:w="2520" w:type="dxa"/>
            <w:vAlign w:val="center"/>
          </w:tcPr>
          <w:p w14:paraId="0255D4C1" w14:textId="77777777" w:rsidR="00051C16" w:rsidRDefault="00000000">
            <w:r>
              <w:rPr>
                <w:sz w:val="15"/>
              </w:rPr>
              <w:t>Reliable analytical population</w:t>
            </w:r>
          </w:p>
        </w:tc>
      </w:tr>
      <w:tr w:rsidR="00051C16" w14:paraId="68384CE3" w14:textId="77777777">
        <w:trPr>
          <w:jc w:val="center"/>
        </w:trPr>
        <w:tc>
          <w:tcPr>
            <w:tcW w:w="1872" w:type="dxa"/>
            <w:shd w:val="clear" w:color="auto" w:fill="F5F7F9"/>
            <w:vAlign w:val="center"/>
          </w:tcPr>
          <w:p w14:paraId="04DDB3E1" w14:textId="77777777" w:rsidR="00051C16" w:rsidRDefault="00000000">
            <w:r>
              <w:rPr>
                <w:b/>
                <w:sz w:val="15"/>
              </w:rPr>
              <w:t>2. Revenue analysis</w:t>
            </w:r>
          </w:p>
        </w:tc>
        <w:tc>
          <w:tcPr>
            <w:tcW w:w="4896" w:type="dxa"/>
            <w:shd w:val="clear" w:color="auto" w:fill="F5F7F9"/>
            <w:vAlign w:val="center"/>
          </w:tcPr>
          <w:p w14:paraId="484A792F" w14:textId="77777777" w:rsidR="00051C16" w:rsidRDefault="00000000">
            <w:r>
              <w:rPr>
                <w:sz w:val="15"/>
              </w:rPr>
              <w:t>Understand levels, concentration, and mix.</w:t>
            </w:r>
          </w:p>
        </w:tc>
        <w:tc>
          <w:tcPr>
            <w:tcW w:w="2520" w:type="dxa"/>
            <w:shd w:val="clear" w:color="auto" w:fill="F5F7F9"/>
            <w:vAlign w:val="center"/>
          </w:tcPr>
          <w:p w14:paraId="6C17CD9F" w14:textId="77777777" w:rsidR="00051C16" w:rsidRDefault="00000000">
            <w:r>
              <w:rPr>
                <w:sz w:val="15"/>
              </w:rPr>
              <w:t>Revenue contribution and mix diagnostics</w:t>
            </w:r>
          </w:p>
        </w:tc>
      </w:tr>
      <w:tr w:rsidR="00051C16" w14:paraId="1F9A4E64" w14:textId="77777777">
        <w:trPr>
          <w:jc w:val="center"/>
        </w:trPr>
        <w:tc>
          <w:tcPr>
            <w:tcW w:w="1872" w:type="dxa"/>
            <w:vAlign w:val="center"/>
          </w:tcPr>
          <w:p w14:paraId="52EA91AE" w14:textId="77777777" w:rsidR="00051C16" w:rsidRDefault="00000000">
            <w:r>
              <w:rPr>
                <w:b/>
                <w:sz w:val="15"/>
              </w:rPr>
              <w:t>3. Discount / pricing</w:t>
            </w:r>
          </w:p>
        </w:tc>
        <w:tc>
          <w:tcPr>
            <w:tcW w:w="4896" w:type="dxa"/>
            <w:vAlign w:val="center"/>
          </w:tcPr>
          <w:p w14:paraId="0BE3ABA9" w14:textId="77777777" w:rsidR="00051C16" w:rsidRDefault="00000000">
            <w:r>
              <w:rPr>
                <w:sz w:val="15"/>
              </w:rPr>
              <w:t>Measure gross-to-net dilution and exposure by business dimension.</w:t>
            </w:r>
          </w:p>
        </w:tc>
        <w:tc>
          <w:tcPr>
            <w:tcW w:w="2520" w:type="dxa"/>
            <w:vAlign w:val="center"/>
          </w:tcPr>
          <w:p w14:paraId="383D3801" w14:textId="77777777" w:rsidR="00051C16" w:rsidRDefault="00000000">
            <w:r>
              <w:rPr>
                <w:sz w:val="15"/>
              </w:rPr>
              <w:t>Discount-rate and exposure diagnostics</w:t>
            </w:r>
          </w:p>
        </w:tc>
      </w:tr>
      <w:tr w:rsidR="00051C16" w14:paraId="230AC7A2" w14:textId="77777777">
        <w:trPr>
          <w:jc w:val="center"/>
        </w:trPr>
        <w:tc>
          <w:tcPr>
            <w:tcW w:w="1872" w:type="dxa"/>
            <w:shd w:val="clear" w:color="auto" w:fill="F5F7F9"/>
            <w:vAlign w:val="center"/>
          </w:tcPr>
          <w:p w14:paraId="7DBE0580" w14:textId="77777777" w:rsidR="00051C16" w:rsidRDefault="00000000">
            <w:r>
              <w:rPr>
                <w:b/>
                <w:sz w:val="15"/>
              </w:rPr>
              <w:t>4. Cost analysis</w:t>
            </w:r>
          </w:p>
        </w:tc>
        <w:tc>
          <w:tcPr>
            <w:tcW w:w="4896" w:type="dxa"/>
            <w:shd w:val="clear" w:color="auto" w:fill="F5F7F9"/>
            <w:vAlign w:val="center"/>
          </w:tcPr>
          <w:p w14:paraId="7DE60206" w14:textId="77777777" w:rsidR="00051C16" w:rsidRDefault="00000000">
            <w:r>
              <w:rPr>
                <w:sz w:val="15"/>
              </w:rPr>
              <w:t>Compare variable/fixed costs and actual vs standard where supported.</w:t>
            </w:r>
          </w:p>
        </w:tc>
        <w:tc>
          <w:tcPr>
            <w:tcW w:w="2520" w:type="dxa"/>
            <w:shd w:val="clear" w:color="auto" w:fill="F5F7F9"/>
            <w:vAlign w:val="center"/>
          </w:tcPr>
          <w:p w14:paraId="7BE88A33" w14:textId="77777777" w:rsidR="00051C16" w:rsidRDefault="00000000">
            <w:r>
              <w:rPr>
                <w:sz w:val="15"/>
              </w:rPr>
              <w:t>Cost-pressure diagnostics</w:t>
            </w:r>
          </w:p>
        </w:tc>
      </w:tr>
      <w:tr w:rsidR="00051C16" w14:paraId="21D1F2BD" w14:textId="77777777">
        <w:trPr>
          <w:jc w:val="center"/>
        </w:trPr>
        <w:tc>
          <w:tcPr>
            <w:tcW w:w="1872" w:type="dxa"/>
            <w:vAlign w:val="center"/>
          </w:tcPr>
          <w:p w14:paraId="6F994420" w14:textId="77777777" w:rsidR="00051C16" w:rsidRDefault="00000000">
            <w:r>
              <w:rPr>
                <w:b/>
                <w:sz w:val="15"/>
              </w:rPr>
              <w:t>5. Profitability</w:t>
            </w:r>
          </w:p>
        </w:tc>
        <w:tc>
          <w:tcPr>
            <w:tcW w:w="4896" w:type="dxa"/>
            <w:vAlign w:val="center"/>
          </w:tcPr>
          <w:p w14:paraId="65D77B41" w14:textId="77777777" w:rsidR="00051C16" w:rsidRDefault="00000000">
            <w:r>
              <w:rPr>
                <w:sz w:val="15"/>
              </w:rPr>
              <w:t>Calculate contribution economics across business dimensions.</w:t>
            </w:r>
          </w:p>
        </w:tc>
        <w:tc>
          <w:tcPr>
            <w:tcW w:w="2520" w:type="dxa"/>
            <w:vAlign w:val="center"/>
          </w:tcPr>
          <w:p w14:paraId="16A061BB" w14:textId="77777777" w:rsidR="00051C16" w:rsidRDefault="00000000">
            <w:r>
              <w:rPr>
                <w:sz w:val="15"/>
              </w:rPr>
              <w:t>Margin and value-creation diagnostics</w:t>
            </w:r>
          </w:p>
        </w:tc>
      </w:tr>
      <w:tr w:rsidR="00051C16" w14:paraId="4BB98057" w14:textId="77777777">
        <w:trPr>
          <w:jc w:val="center"/>
        </w:trPr>
        <w:tc>
          <w:tcPr>
            <w:tcW w:w="1872" w:type="dxa"/>
            <w:shd w:val="clear" w:color="auto" w:fill="F5F7F9"/>
            <w:vAlign w:val="center"/>
          </w:tcPr>
          <w:p w14:paraId="0E5A1228" w14:textId="77777777" w:rsidR="00051C16" w:rsidRDefault="00000000">
            <w:r>
              <w:rPr>
                <w:b/>
                <w:sz w:val="15"/>
              </w:rPr>
              <w:t>6. Budget variance</w:t>
            </w:r>
          </w:p>
        </w:tc>
        <w:tc>
          <w:tcPr>
            <w:tcW w:w="4896" w:type="dxa"/>
            <w:shd w:val="clear" w:color="auto" w:fill="F5F7F9"/>
            <w:vAlign w:val="center"/>
          </w:tcPr>
          <w:p w14:paraId="307745AD" w14:textId="77777777" w:rsidR="00051C16" w:rsidRDefault="00000000">
            <w:r>
              <w:rPr>
                <w:sz w:val="15"/>
              </w:rPr>
              <w:t>Compare actual to the approved H1 budget at BU × Region × Month.</w:t>
            </w:r>
          </w:p>
        </w:tc>
        <w:tc>
          <w:tcPr>
            <w:tcW w:w="2520" w:type="dxa"/>
            <w:shd w:val="clear" w:color="auto" w:fill="F5F7F9"/>
            <w:vAlign w:val="center"/>
          </w:tcPr>
          <w:p w14:paraId="6AB8B9B7" w14:textId="77777777" w:rsidR="00051C16" w:rsidRDefault="00000000">
            <w:r>
              <w:rPr>
                <w:sz w:val="15"/>
              </w:rPr>
              <w:t>Variance diagnostics, subject to validation</w:t>
            </w:r>
          </w:p>
        </w:tc>
      </w:tr>
      <w:tr w:rsidR="00051C16" w14:paraId="12B8585E" w14:textId="77777777">
        <w:trPr>
          <w:jc w:val="center"/>
        </w:trPr>
        <w:tc>
          <w:tcPr>
            <w:tcW w:w="1872" w:type="dxa"/>
            <w:vAlign w:val="center"/>
          </w:tcPr>
          <w:p w14:paraId="267D61CC" w14:textId="77777777" w:rsidR="00051C16" w:rsidRDefault="00000000">
            <w:r>
              <w:rPr>
                <w:b/>
                <w:sz w:val="15"/>
              </w:rPr>
              <w:t>7. Driver investigation</w:t>
            </w:r>
          </w:p>
        </w:tc>
        <w:tc>
          <w:tcPr>
            <w:tcW w:w="4896" w:type="dxa"/>
            <w:vAlign w:val="center"/>
          </w:tcPr>
          <w:p w14:paraId="331DA0EF" w14:textId="77777777" w:rsidR="00051C16" w:rsidRDefault="00000000">
            <w:r>
              <w:rPr>
                <w:sz w:val="15"/>
              </w:rPr>
              <w:t>Investigate material gaps and anomalies.</w:t>
            </w:r>
          </w:p>
        </w:tc>
        <w:tc>
          <w:tcPr>
            <w:tcW w:w="2520" w:type="dxa"/>
            <w:vAlign w:val="center"/>
          </w:tcPr>
          <w:p w14:paraId="12B3B1CA" w14:textId="77777777" w:rsidR="00051C16" w:rsidRDefault="00000000">
            <w:r>
              <w:rPr>
                <w:sz w:val="15"/>
              </w:rPr>
              <w:t>Root-cause themes</w:t>
            </w:r>
          </w:p>
        </w:tc>
      </w:tr>
      <w:tr w:rsidR="00051C16" w14:paraId="3B90A773" w14:textId="77777777">
        <w:trPr>
          <w:jc w:val="center"/>
        </w:trPr>
        <w:tc>
          <w:tcPr>
            <w:tcW w:w="1872" w:type="dxa"/>
            <w:shd w:val="clear" w:color="auto" w:fill="F5F7F9"/>
            <w:vAlign w:val="center"/>
          </w:tcPr>
          <w:p w14:paraId="4522DAA6" w14:textId="77777777" w:rsidR="00051C16" w:rsidRDefault="00000000">
            <w:r>
              <w:rPr>
                <w:b/>
                <w:sz w:val="15"/>
              </w:rPr>
              <w:t>8. Financial impact</w:t>
            </w:r>
          </w:p>
        </w:tc>
        <w:tc>
          <w:tcPr>
            <w:tcW w:w="4896" w:type="dxa"/>
            <w:shd w:val="clear" w:color="auto" w:fill="F5F7F9"/>
            <w:vAlign w:val="center"/>
          </w:tcPr>
          <w:p w14:paraId="652AFD9A" w14:textId="77777777" w:rsidR="00051C16" w:rsidRDefault="00000000">
            <w:r>
              <w:rPr>
                <w:sz w:val="15"/>
              </w:rPr>
              <w:t>Quantify and rank issues/opportunities.</w:t>
            </w:r>
          </w:p>
        </w:tc>
        <w:tc>
          <w:tcPr>
            <w:tcW w:w="2520" w:type="dxa"/>
            <w:shd w:val="clear" w:color="auto" w:fill="F5F7F9"/>
            <w:vAlign w:val="center"/>
          </w:tcPr>
          <w:p w14:paraId="3D4FDAFB" w14:textId="77777777" w:rsidR="00051C16" w:rsidRDefault="00000000">
            <w:r>
              <w:rPr>
                <w:sz w:val="15"/>
              </w:rPr>
              <w:t>Prioritization matrix</w:t>
            </w:r>
          </w:p>
        </w:tc>
      </w:tr>
      <w:tr w:rsidR="00051C16" w14:paraId="1DFE0BDA" w14:textId="77777777">
        <w:trPr>
          <w:jc w:val="center"/>
        </w:trPr>
        <w:tc>
          <w:tcPr>
            <w:tcW w:w="1872" w:type="dxa"/>
            <w:vAlign w:val="center"/>
          </w:tcPr>
          <w:p w14:paraId="3774BF91" w14:textId="77777777" w:rsidR="00051C16" w:rsidRDefault="00000000">
            <w:r>
              <w:rPr>
                <w:b/>
                <w:sz w:val="15"/>
              </w:rPr>
              <w:t>9. Recommendations</w:t>
            </w:r>
          </w:p>
        </w:tc>
        <w:tc>
          <w:tcPr>
            <w:tcW w:w="4896" w:type="dxa"/>
            <w:vAlign w:val="center"/>
          </w:tcPr>
          <w:p w14:paraId="14E600E2" w14:textId="77777777" w:rsidR="00051C16" w:rsidRDefault="00000000">
            <w:r>
              <w:rPr>
                <w:sz w:val="15"/>
              </w:rPr>
              <w:t>Translate evidence into management actions.</w:t>
            </w:r>
          </w:p>
        </w:tc>
        <w:tc>
          <w:tcPr>
            <w:tcW w:w="2520" w:type="dxa"/>
            <w:vAlign w:val="center"/>
          </w:tcPr>
          <w:p w14:paraId="56BCA475" w14:textId="77777777" w:rsidR="00051C16" w:rsidRDefault="00000000">
            <w:r>
              <w:rPr>
                <w:sz w:val="15"/>
              </w:rPr>
              <w:t>Action plan</w:t>
            </w:r>
          </w:p>
        </w:tc>
      </w:tr>
    </w:tbl>
    <w:p w14:paraId="36195A86" w14:textId="77777777" w:rsidR="00051C16" w:rsidRDefault="00051C16">
      <w:pPr>
        <w:spacing w:after="20"/>
      </w:pPr>
    </w:p>
    <w:p w14:paraId="05B2A697" w14:textId="77777777" w:rsidR="00051C16" w:rsidRDefault="00000000">
      <w:pPr>
        <w:pStyle w:val="Heading2"/>
      </w:pPr>
      <w:r>
        <w:t>6.2 Core Financial Measures</w:t>
      </w:r>
    </w:p>
    <w:tbl>
      <w:tblPr>
        <w:tblStyle w:val="TableGrid"/>
        <w:tblW w:w="0" w:type="auto"/>
        <w:jc w:val="center"/>
        <w:tblLook w:val="04A0" w:firstRow="1" w:lastRow="0" w:firstColumn="1" w:lastColumn="0" w:noHBand="0" w:noVBand="1"/>
      </w:tblPr>
      <w:tblGrid>
        <w:gridCol w:w="1944"/>
        <w:gridCol w:w="4968"/>
        <w:gridCol w:w="2376"/>
      </w:tblGrid>
      <w:tr w:rsidR="00051C16" w14:paraId="09C3033F" w14:textId="77777777">
        <w:trPr>
          <w:tblHeader/>
          <w:jc w:val="center"/>
        </w:trPr>
        <w:tc>
          <w:tcPr>
            <w:tcW w:w="1944" w:type="dxa"/>
            <w:shd w:val="clear" w:color="auto" w:fill="1F4E6E"/>
            <w:vAlign w:val="center"/>
          </w:tcPr>
          <w:p w14:paraId="31ADB584" w14:textId="77777777" w:rsidR="00051C16" w:rsidRDefault="00000000">
            <w:pPr>
              <w:jc w:val="center"/>
            </w:pPr>
            <w:r>
              <w:rPr>
                <w:b/>
                <w:color w:val="FFFFFF"/>
                <w:sz w:val="16"/>
              </w:rPr>
              <w:t>Measure</w:t>
            </w:r>
          </w:p>
        </w:tc>
        <w:tc>
          <w:tcPr>
            <w:tcW w:w="4968" w:type="dxa"/>
            <w:shd w:val="clear" w:color="auto" w:fill="1F4E6E"/>
            <w:vAlign w:val="center"/>
          </w:tcPr>
          <w:p w14:paraId="70194771" w14:textId="77777777" w:rsidR="00051C16" w:rsidRDefault="00000000">
            <w:pPr>
              <w:jc w:val="center"/>
            </w:pPr>
            <w:r>
              <w:rPr>
                <w:b/>
                <w:color w:val="FFFFFF"/>
                <w:sz w:val="16"/>
              </w:rPr>
              <w:t>Definition used in analysis</w:t>
            </w:r>
          </w:p>
        </w:tc>
        <w:tc>
          <w:tcPr>
            <w:tcW w:w="2376" w:type="dxa"/>
            <w:shd w:val="clear" w:color="auto" w:fill="1F4E6E"/>
            <w:vAlign w:val="center"/>
          </w:tcPr>
          <w:p w14:paraId="14D6A6A0" w14:textId="77777777" w:rsidR="00051C16" w:rsidRDefault="00000000">
            <w:pPr>
              <w:jc w:val="center"/>
            </w:pPr>
            <w:r>
              <w:rPr>
                <w:b/>
                <w:color w:val="FFFFFF"/>
                <w:sz w:val="16"/>
              </w:rPr>
              <w:t>Interpretation</w:t>
            </w:r>
          </w:p>
        </w:tc>
      </w:tr>
      <w:tr w:rsidR="00051C16" w14:paraId="60147D0F" w14:textId="77777777">
        <w:trPr>
          <w:jc w:val="center"/>
        </w:trPr>
        <w:tc>
          <w:tcPr>
            <w:tcW w:w="1944" w:type="dxa"/>
            <w:vAlign w:val="center"/>
          </w:tcPr>
          <w:p w14:paraId="1960476E" w14:textId="77777777" w:rsidR="00051C16" w:rsidRDefault="00000000">
            <w:r>
              <w:rPr>
                <w:b/>
                <w:sz w:val="15"/>
              </w:rPr>
              <w:t>Gross Revenue</w:t>
            </w:r>
          </w:p>
        </w:tc>
        <w:tc>
          <w:tcPr>
            <w:tcW w:w="4968" w:type="dxa"/>
            <w:vAlign w:val="center"/>
          </w:tcPr>
          <w:p w14:paraId="1DA0FBA3" w14:textId="77777777" w:rsidR="00051C16" w:rsidRDefault="00000000">
            <w:r>
              <w:rPr>
                <w:sz w:val="15"/>
              </w:rPr>
              <w:t>Pre-discount revenue value used in the validated analytical dataset</w:t>
            </w:r>
          </w:p>
        </w:tc>
        <w:tc>
          <w:tcPr>
            <w:tcW w:w="2376" w:type="dxa"/>
            <w:vAlign w:val="center"/>
          </w:tcPr>
          <w:p w14:paraId="43E26A4A" w14:textId="77777777" w:rsidR="00051C16" w:rsidRDefault="00000000">
            <w:r>
              <w:rPr>
                <w:sz w:val="15"/>
              </w:rPr>
              <w:t>Top-line value before discounts</w:t>
            </w:r>
          </w:p>
        </w:tc>
      </w:tr>
      <w:tr w:rsidR="00051C16" w14:paraId="69827FA7" w14:textId="77777777">
        <w:trPr>
          <w:jc w:val="center"/>
        </w:trPr>
        <w:tc>
          <w:tcPr>
            <w:tcW w:w="1944" w:type="dxa"/>
            <w:shd w:val="clear" w:color="auto" w:fill="F5F7F9"/>
            <w:vAlign w:val="center"/>
          </w:tcPr>
          <w:p w14:paraId="0D0EA309" w14:textId="77777777" w:rsidR="00051C16" w:rsidRDefault="00000000">
            <w:r>
              <w:rPr>
                <w:b/>
                <w:sz w:val="15"/>
              </w:rPr>
              <w:t>Discount</w:t>
            </w:r>
          </w:p>
        </w:tc>
        <w:tc>
          <w:tcPr>
            <w:tcW w:w="4968" w:type="dxa"/>
            <w:shd w:val="clear" w:color="auto" w:fill="F5F7F9"/>
            <w:vAlign w:val="center"/>
          </w:tcPr>
          <w:p w14:paraId="05914A0B" w14:textId="77777777" w:rsidR="00051C16" w:rsidRDefault="00000000">
            <w:r>
              <w:rPr>
                <w:sz w:val="15"/>
              </w:rPr>
              <w:t>Revenue reduction from gross/list value</w:t>
            </w:r>
          </w:p>
        </w:tc>
        <w:tc>
          <w:tcPr>
            <w:tcW w:w="2376" w:type="dxa"/>
            <w:shd w:val="clear" w:color="auto" w:fill="F5F7F9"/>
            <w:vAlign w:val="center"/>
          </w:tcPr>
          <w:p w14:paraId="31D23D32" w14:textId="77777777" w:rsidR="00051C16" w:rsidRDefault="00000000">
            <w:r>
              <w:rPr>
                <w:sz w:val="15"/>
              </w:rPr>
              <w:t>Revenue realization pressure</w:t>
            </w:r>
          </w:p>
        </w:tc>
      </w:tr>
      <w:tr w:rsidR="00051C16" w14:paraId="0717E2E0" w14:textId="77777777">
        <w:trPr>
          <w:jc w:val="center"/>
        </w:trPr>
        <w:tc>
          <w:tcPr>
            <w:tcW w:w="1944" w:type="dxa"/>
            <w:vAlign w:val="center"/>
          </w:tcPr>
          <w:p w14:paraId="4E68175D" w14:textId="77777777" w:rsidR="00051C16" w:rsidRDefault="00000000">
            <w:r>
              <w:rPr>
                <w:b/>
                <w:sz w:val="15"/>
              </w:rPr>
              <w:t>Net Revenue</w:t>
            </w:r>
          </w:p>
        </w:tc>
        <w:tc>
          <w:tcPr>
            <w:tcW w:w="4968" w:type="dxa"/>
            <w:vAlign w:val="center"/>
          </w:tcPr>
          <w:p w14:paraId="0A5521A1" w14:textId="77777777" w:rsidR="00051C16" w:rsidRDefault="00000000">
            <w:r>
              <w:rPr>
                <w:sz w:val="15"/>
              </w:rPr>
              <w:t>Gross Revenue less Discount</w:t>
            </w:r>
          </w:p>
        </w:tc>
        <w:tc>
          <w:tcPr>
            <w:tcW w:w="2376" w:type="dxa"/>
            <w:vAlign w:val="center"/>
          </w:tcPr>
          <w:p w14:paraId="7EF7E4F7" w14:textId="77777777" w:rsidR="00051C16" w:rsidRDefault="00000000">
            <w:r>
              <w:rPr>
                <w:sz w:val="15"/>
              </w:rPr>
              <w:t>Realized revenue after discounts</w:t>
            </w:r>
          </w:p>
        </w:tc>
      </w:tr>
      <w:tr w:rsidR="00051C16" w14:paraId="2B13E5E6" w14:textId="77777777">
        <w:trPr>
          <w:jc w:val="center"/>
        </w:trPr>
        <w:tc>
          <w:tcPr>
            <w:tcW w:w="1944" w:type="dxa"/>
            <w:shd w:val="clear" w:color="auto" w:fill="F5F7F9"/>
            <w:vAlign w:val="center"/>
          </w:tcPr>
          <w:p w14:paraId="3A676AB1" w14:textId="77777777" w:rsidR="00051C16" w:rsidRDefault="00000000">
            <w:r>
              <w:rPr>
                <w:b/>
                <w:sz w:val="15"/>
              </w:rPr>
              <w:t>Variable Cost</w:t>
            </w:r>
          </w:p>
        </w:tc>
        <w:tc>
          <w:tcPr>
            <w:tcW w:w="4968" w:type="dxa"/>
            <w:shd w:val="clear" w:color="auto" w:fill="F5F7F9"/>
            <w:vAlign w:val="center"/>
          </w:tcPr>
          <w:p w14:paraId="2C74CE6F" w14:textId="77777777" w:rsidR="00051C16" w:rsidRDefault="00000000">
            <w:r>
              <w:rPr>
                <w:sz w:val="15"/>
              </w:rPr>
              <w:t>Variable cost assigned to the transaction/product economics</w:t>
            </w:r>
          </w:p>
        </w:tc>
        <w:tc>
          <w:tcPr>
            <w:tcW w:w="2376" w:type="dxa"/>
            <w:shd w:val="clear" w:color="auto" w:fill="F5F7F9"/>
            <w:vAlign w:val="center"/>
          </w:tcPr>
          <w:p w14:paraId="182052C4" w14:textId="77777777" w:rsidR="00051C16" w:rsidRDefault="00000000">
            <w:r>
              <w:rPr>
                <w:sz w:val="15"/>
              </w:rPr>
              <w:t>Directly related cost burden</w:t>
            </w:r>
          </w:p>
        </w:tc>
      </w:tr>
      <w:tr w:rsidR="00051C16" w14:paraId="355CF524" w14:textId="77777777">
        <w:trPr>
          <w:jc w:val="center"/>
        </w:trPr>
        <w:tc>
          <w:tcPr>
            <w:tcW w:w="1944" w:type="dxa"/>
            <w:vAlign w:val="center"/>
          </w:tcPr>
          <w:p w14:paraId="356760FA" w14:textId="77777777" w:rsidR="00051C16" w:rsidRDefault="00000000">
            <w:r>
              <w:rPr>
                <w:b/>
                <w:sz w:val="15"/>
              </w:rPr>
              <w:t>Contribution Profit</w:t>
            </w:r>
          </w:p>
        </w:tc>
        <w:tc>
          <w:tcPr>
            <w:tcW w:w="4968" w:type="dxa"/>
            <w:vAlign w:val="center"/>
          </w:tcPr>
          <w:p w14:paraId="5A00280B" w14:textId="77777777" w:rsidR="00051C16" w:rsidRDefault="00000000">
            <w:r>
              <w:rPr>
                <w:sz w:val="15"/>
              </w:rPr>
              <w:t>Net Revenue less Variable Cost</w:t>
            </w:r>
          </w:p>
        </w:tc>
        <w:tc>
          <w:tcPr>
            <w:tcW w:w="2376" w:type="dxa"/>
            <w:vAlign w:val="center"/>
          </w:tcPr>
          <w:p w14:paraId="530D03F0" w14:textId="77777777" w:rsidR="00051C16" w:rsidRDefault="00000000">
            <w:r>
              <w:rPr>
                <w:sz w:val="15"/>
              </w:rPr>
              <w:t>Economic contribution before fixed-cost allocation</w:t>
            </w:r>
          </w:p>
        </w:tc>
      </w:tr>
      <w:tr w:rsidR="00051C16" w14:paraId="46DBC710" w14:textId="77777777">
        <w:trPr>
          <w:jc w:val="center"/>
        </w:trPr>
        <w:tc>
          <w:tcPr>
            <w:tcW w:w="1944" w:type="dxa"/>
            <w:shd w:val="clear" w:color="auto" w:fill="F5F7F9"/>
            <w:vAlign w:val="center"/>
          </w:tcPr>
          <w:p w14:paraId="4A352F95" w14:textId="77777777" w:rsidR="00051C16" w:rsidRDefault="00000000">
            <w:r>
              <w:rPr>
                <w:b/>
                <w:sz w:val="15"/>
              </w:rPr>
              <w:t>Contribution Margin</w:t>
            </w:r>
          </w:p>
        </w:tc>
        <w:tc>
          <w:tcPr>
            <w:tcW w:w="4968" w:type="dxa"/>
            <w:shd w:val="clear" w:color="auto" w:fill="F5F7F9"/>
            <w:vAlign w:val="center"/>
          </w:tcPr>
          <w:p w14:paraId="756F483C" w14:textId="77777777" w:rsidR="00051C16" w:rsidRDefault="00000000">
            <w:r>
              <w:rPr>
                <w:sz w:val="15"/>
              </w:rPr>
              <w:t>Contribution Profit / Net Revenue</w:t>
            </w:r>
          </w:p>
        </w:tc>
        <w:tc>
          <w:tcPr>
            <w:tcW w:w="2376" w:type="dxa"/>
            <w:shd w:val="clear" w:color="auto" w:fill="F5F7F9"/>
            <w:vAlign w:val="center"/>
          </w:tcPr>
          <w:p w14:paraId="49330F39" w14:textId="77777777" w:rsidR="00051C16" w:rsidRDefault="00000000">
            <w:r>
              <w:rPr>
                <w:sz w:val="15"/>
              </w:rPr>
              <w:t>Relative contribution economics</w:t>
            </w:r>
          </w:p>
        </w:tc>
      </w:tr>
      <w:tr w:rsidR="00051C16" w14:paraId="12D266B0" w14:textId="77777777">
        <w:trPr>
          <w:jc w:val="center"/>
        </w:trPr>
        <w:tc>
          <w:tcPr>
            <w:tcW w:w="1944" w:type="dxa"/>
            <w:vAlign w:val="center"/>
          </w:tcPr>
          <w:p w14:paraId="787083FB" w14:textId="77777777" w:rsidR="00051C16" w:rsidRDefault="00000000">
            <w:r>
              <w:rPr>
                <w:b/>
                <w:sz w:val="15"/>
              </w:rPr>
              <w:t>Gross Profit</w:t>
            </w:r>
          </w:p>
        </w:tc>
        <w:tc>
          <w:tcPr>
            <w:tcW w:w="4968" w:type="dxa"/>
            <w:vAlign w:val="center"/>
          </w:tcPr>
          <w:p w14:paraId="0F8425DA" w14:textId="77777777" w:rsidR="00051C16" w:rsidRDefault="00000000">
            <w:r>
              <w:rPr>
                <w:sz w:val="15"/>
              </w:rPr>
              <w:t>Calculated where COGS support is available</w:t>
            </w:r>
          </w:p>
        </w:tc>
        <w:tc>
          <w:tcPr>
            <w:tcW w:w="2376" w:type="dxa"/>
            <w:vAlign w:val="center"/>
          </w:tcPr>
          <w:p w14:paraId="5BACE4CD" w14:textId="77777777" w:rsidR="00051C16" w:rsidRDefault="00000000">
            <w:r>
              <w:rPr>
                <w:sz w:val="15"/>
              </w:rPr>
              <w:t>Profit after direct product cost basis</w:t>
            </w:r>
          </w:p>
        </w:tc>
      </w:tr>
      <w:tr w:rsidR="00051C16" w14:paraId="38683AEE" w14:textId="77777777">
        <w:trPr>
          <w:jc w:val="center"/>
        </w:trPr>
        <w:tc>
          <w:tcPr>
            <w:tcW w:w="1944" w:type="dxa"/>
            <w:shd w:val="clear" w:color="auto" w:fill="F5F7F9"/>
            <w:vAlign w:val="center"/>
          </w:tcPr>
          <w:p w14:paraId="2CBA3C17" w14:textId="77777777" w:rsidR="00051C16" w:rsidRDefault="00000000">
            <w:r>
              <w:rPr>
                <w:b/>
                <w:sz w:val="15"/>
              </w:rPr>
              <w:t>Fixed Cost</w:t>
            </w:r>
          </w:p>
        </w:tc>
        <w:tc>
          <w:tcPr>
            <w:tcW w:w="4968" w:type="dxa"/>
            <w:shd w:val="clear" w:color="auto" w:fill="F5F7F9"/>
            <w:vAlign w:val="center"/>
          </w:tcPr>
          <w:p w14:paraId="7FA00323" w14:textId="77777777" w:rsidR="00051C16" w:rsidRDefault="00000000">
            <w:r>
              <w:rPr>
                <w:sz w:val="15"/>
              </w:rPr>
              <w:t>Fixed / allocated cost component where available</w:t>
            </w:r>
          </w:p>
        </w:tc>
        <w:tc>
          <w:tcPr>
            <w:tcW w:w="2376" w:type="dxa"/>
            <w:shd w:val="clear" w:color="auto" w:fill="F5F7F9"/>
            <w:vAlign w:val="center"/>
          </w:tcPr>
          <w:p w14:paraId="38A54C2D" w14:textId="77777777" w:rsidR="00051C16" w:rsidRDefault="00000000">
            <w:r>
              <w:rPr>
                <w:sz w:val="15"/>
              </w:rPr>
              <w:t>Cost burden below contribution</w:t>
            </w:r>
          </w:p>
        </w:tc>
      </w:tr>
      <w:tr w:rsidR="00051C16" w14:paraId="0CF1F119" w14:textId="77777777">
        <w:trPr>
          <w:jc w:val="center"/>
        </w:trPr>
        <w:tc>
          <w:tcPr>
            <w:tcW w:w="1944" w:type="dxa"/>
            <w:vAlign w:val="center"/>
          </w:tcPr>
          <w:p w14:paraId="11A99B79" w14:textId="77777777" w:rsidR="00051C16" w:rsidRDefault="00000000">
            <w:r>
              <w:rPr>
                <w:b/>
                <w:sz w:val="15"/>
              </w:rPr>
              <w:t>Operating Profit (approx.)</w:t>
            </w:r>
          </w:p>
        </w:tc>
        <w:tc>
          <w:tcPr>
            <w:tcW w:w="4968" w:type="dxa"/>
            <w:vAlign w:val="center"/>
          </w:tcPr>
          <w:p w14:paraId="32BE30B9" w14:textId="77777777" w:rsidR="00051C16" w:rsidRDefault="00000000">
            <w:r>
              <w:rPr>
                <w:sz w:val="15"/>
              </w:rPr>
              <w:t>Operating-profit approximation where the available cost structure supports it</w:t>
            </w:r>
          </w:p>
        </w:tc>
        <w:tc>
          <w:tcPr>
            <w:tcW w:w="2376" w:type="dxa"/>
            <w:vAlign w:val="center"/>
          </w:tcPr>
          <w:p w14:paraId="455FF2C9" w14:textId="77777777" w:rsidR="00051C16" w:rsidRDefault="00000000">
            <w:r>
              <w:rPr>
                <w:sz w:val="15"/>
              </w:rPr>
              <w:t>Used cautiously given allocation limitations</w:t>
            </w:r>
          </w:p>
        </w:tc>
      </w:tr>
      <w:tr w:rsidR="00051C16" w14:paraId="58F4E091" w14:textId="77777777">
        <w:trPr>
          <w:jc w:val="center"/>
        </w:trPr>
        <w:tc>
          <w:tcPr>
            <w:tcW w:w="1944" w:type="dxa"/>
            <w:shd w:val="clear" w:color="auto" w:fill="F5F7F9"/>
            <w:vAlign w:val="center"/>
          </w:tcPr>
          <w:p w14:paraId="38BB0B06" w14:textId="77777777" w:rsidR="00051C16" w:rsidRDefault="00000000">
            <w:r>
              <w:rPr>
                <w:b/>
                <w:sz w:val="15"/>
              </w:rPr>
              <w:t>Budget Variance</w:t>
            </w:r>
          </w:p>
        </w:tc>
        <w:tc>
          <w:tcPr>
            <w:tcW w:w="4968" w:type="dxa"/>
            <w:shd w:val="clear" w:color="auto" w:fill="F5F7F9"/>
            <w:vAlign w:val="center"/>
          </w:tcPr>
          <w:p w14:paraId="7AA2AED5" w14:textId="77777777" w:rsidR="00051C16" w:rsidRDefault="00000000">
            <w:r>
              <w:rPr>
                <w:sz w:val="15"/>
              </w:rPr>
              <w:t>Actual minus budget; percentage variance where appropriate</w:t>
            </w:r>
          </w:p>
        </w:tc>
        <w:tc>
          <w:tcPr>
            <w:tcW w:w="2376" w:type="dxa"/>
            <w:shd w:val="clear" w:color="auto" w:fill="F5F7F9"/>
            <w:vAlign w:val="center"/>
          </w:tcPr>
          <w:p w14:paraId="4E1A106C" w14:textId="77777777" w:rsidR="00051C16" w:rsidRDefault="00000000">
            <w:r>
              <w:rPr>
                <w:sz w:val="15"/>
              </w:rPr>
              <w:t>Performance versus approved plan</w:t>
            </w:r>
          </w:p>
        </w:tc>
      </w:tr>
    </w:tbl>
    <w:p w14:paraId="4557F2A4" w14:textId="77777777" w:rsidR="00051C16" w:rsidRDefault="00051C16">
      <w:pPr>
        <w:spacing w:after="20"/>
      </w:pPr>
    </w:p>
    <w:p w14:paraId="5A0460DB" w14:textId="77777777" w:rsidR="00051C16" w:rsidRDefault="00000000">
      <w:pPr>
        <w:pStyle w:val="Heading2"/>
      </w:pPr>
      <w:r>
        <w:t>6.3 Evidence Classification</w:t>
      </w:r>
    </w:p>
    <w:tbl>
      <w:tblPr>
        <w:tblStyle w:val="TableGrid"/>
        <w:tblW w:w="0" w:type="auto"/>
        <w:jc w:val="center"/>
        <w:tblLook w:val="04A0" w:firstRow="1" w:lastRow="0" w:firstColumn="1" w:lastColumn="0" w:noHBand="0" w:noVBand="1"/>
      </w:tblPr>
      <w:tblGrid>
        <w:gridCol w:w="2376"/>
        <w:gridCol w:w="4608"/>
        <w:gridCol w:w="2304"/>
      </w:tblGrid>
      <w:tr w:rsidR="00051C16" w14:paraId="4B189A6B" w14:textId="77777777">
        <w:trPr>
          <w:tblHeader/>
          <w:jc w:val="center"/>
        </w:trPr>
        <w:tc>
          <w:tcPr>
            <w:tcW w:w="2376" w:type="dxa"/>
            <w:shd w:val="clear" w:color="auto" w:fill="1F4E6E"/>
            <w:vAlign w:val="center"/>
          </w:tcPr>
          <w:p w14:paraId="7504A53F" w14:textId="77777777" w:rsidR="00051C16" w:rsidRDefault="00000000">
            <w:pPr>
              <w:jc w:val="center"/>
            </w:pPr>
            <w:r>
              <w:rPr>
                <w:b/>
                <w:color w:val="FFFFFF"/>
                <w:sz w:val="16"/>
              </w:rPr>
              <w:t>Evidence class</w:t>
            </w:r>
          </w:p>
        </w:tc>
        <w:tc>
          <w:tcPr>
            <w:tcW w:w="4608" w:type="dxa"/>
            <w:shd w:val="clear" w:color="auto" w:fill="1F4E6E"/>
            <w:vAlign w:val="center"/>
          </w:tcPr>
          <w:p w14:paraId="4E444D1C" w14:textId="77777777" w:rsidR="00051C16" w:rsidRDefault="00000000">
            <w:pPr>
              <w:jc w:val="center"/>
            </w:pPr>
            <w:r>
              <w:rPr>
                <w:b/>
                <w:color w:val="FFFFFF"/>
                <w:sz w:val="16"/>
              </w:rPr>
              <w:t>Meaning</w:t>
            </w:r>
          </w:p>
        </w:tc>
        <w:tc>
          <w:tcPr>
            <w:tcW w:w="2304" w:type="dxa"/>
            <w:shd w:val="clear" w:color="auto" w:fill="1F4E6E"/>
            <w:vAlign w:val="center"/>
          </w:tcPr>
          <w:p w14:paraId="2D4F0251" w14:textId="77777777" w:rsidR="00051C16" w:rsidRDefault="00000000">
            <w:pPr>
              <w:jc w:val="center"/>
            </w:pPr>
            <w:r>
              <w:rPr>
                <w:b/>
                <w:color w:val="FFFFFF"/>
                <w:sz w:val="16"/>
              </w:rPr>
              <w:t>Examples in this analysis</w:t>
            </w:r>
          </w:p>
        </w:tc>
      </w:tr>
      <w:tr w:rsidR="00051C16" w14:paraId="53DA6426" w14:textId="77777777">
        <w:trPr>
          <w:jc w:val="center"/>
        </w:trPr>
        <w:tc>
          <w:tcPr>
            <w:tcW w:w="2376" w:type="dxa"/>
            <w:vAlign w:val="center"/>
          </w:tcPr>
          <w:p w14:paraId="09E8CF2B" w14:textId="77777777" w:rsidR="00051C16" w:rsidRDefault="00000000">
            <w:r>
              <w:rPr>
                <w:b/>
                <w:sz w:val="15"/>
              </w:rPr>
              <w:t>Confirmed measurable impact</w:t>
            </w:r>
          </w:p>
        </w:tc>
        <w:tc>
          <w:tcPr>
            <w:tcW w:w="4608" w:type="dxa"/>
            <w:vAlign w:val="center"/>
          </w:tcPr>
          <w:p w14:paraId="4360655C" w14:textId="77777777" w:rsidR="00051C16" w:rsidRDefault="00000000">
            <w:r>
              <w:rPr>
                <w:sz w:val="15"/>
              </w:rPr>
              <w:t>Directly supported by validated data and an explicit benchmark or calculation</w:t>
            </w:r>
          </w:p>
        </w:tc>
        <w:tc>
          <w:tcPr>
            <w:tcW w:w="2304" w:type="dxa"/>
            <w:vAlign w:val="center"/>
          </w:tcPr>
          <w:p w14:paraId="641D51DC" w14:textId="77777777" w:rsidR="00051C16" w:rsidRDefault="00000000">
            <w:r>
              <w:rPr>
                <w:sz w:val="15"/>
              </w:rPr>
              <w:t>~$49.5K actual-vs-standard cost overrun</w:t>
            </w:r>
          </w:p>
        </w:tc>
      </w:tr>
      <w:tr w:rsidR="00051C16" w14:paraId="5225CE06" w14:textId="77777777">
        <w:trPr>
          <w:jc w:val="center"/>
        </w:trPr>
        <w:tc>
          <w:tcPr>
            <w:tcW w:w="2376" w:type="dxa"/>
            <w:shd w:val="clear" w:color="auto" w:fill="F5F7F9"/>
            <w:vAlign w:val="center"/>
          </w:tcPr>
          <w:p w14:paraId="7C40EFFA" w14:textId="77777777" w:rsidR="00051C16" w:rsidRDefault="00000000">
            <w:r>
              <w:rPr>
                <w:b/>
                <w:sz w:val="15"/>
              </w:rPr>
              <w:t>Revenue exposure</w:t>
            </w:r>
          </w:p>
        </w:tc>
        <w:tc>
          <w:tcPr>
            <w:tcW w:w="4608" w:type="dxa"/>
            <w:shd w:val="clear" w:color="auto" w:fill="F5F7F9"/>
            <w:vAlign w:val="center"/>
          </w:tcPr>
          <w:p w14:paraId="6243326B" w14:textId="77777777" w:rsidR="00051C16" w:rsidRDefault="00000000">
            <w:r>
              <w:rPr>
                <w:sz w:val="15"/>
              </w:rPr>
              <w:t>Observed financial value with uncertain recoverability or excessiveness</w:t>
            </w:r>
          </w:p>
        </w:tc>
        <w:tc>
          <w:tcPr>
            <w:tcW w:w="2304" w:type="dxa"/>
            <w:shd w:val="clear" w:color="auto" w:fill="F5F7F9"/>
            <w:vAlign w:val="center"/>
          </w:tcPr>
          <w:p w14:paraId="46F22297" w14:textId="77777777" w:rsidR="00051C16" w:rsidRDefault="00000000">
            <w:r>
              <w:rPr>
                <w:sz w:val="15"/>
              </w:rPr>
              <w:t>~$510.8K Distributor + Strategic discount exposure</w:t>
            </w:r>
          </w:p>
        </w:tc>
      </w:tr>
      <w:tr w:rsidR="00051C16" w14:paraId="3B1FB22E" w14:textId="77777777">
        <w:trPr>
          <w:jc w:val="center"/>
        </w:trPr>
        <w:tc>
          <w:tcPr>
            <w:tcW w:w="2376" w:type="dxa"/>
            <w:vAlign w:val="center"/>
          </w:tcPr>
          <w:p w14:paraId="0F5DADD9" w14:textId="77777777" w:rsidR="00051C16" w:rsidRDefault="00000000">
            <w:r>
              <w:rPr>
                <w:b/>
                <w:sz w:val="15"/>
              </w:rPr>
              <w:t>Illustrative opportunity</w:t>
            </w:r>
          </w:p>
        </w:tc>
        <w:tc>
          <w:tcPr>
            <w:tcW w:w="4608" w:type="dxa"/>
            <w:vAlign w:val="center"/>
          </w:tcPr>
          <w:p w14:paraId="17E3265E" w14:textId="77777777" w:rsidR="00051C16" w:rsidRDefault="00000000">
            <w:r>
              <w:rPr>
                <w:sz w:val="15"/>
              </w:rPr>
              <w:t>Benchmark-based directional upside, not a booked loss</w:t>
            </w:r>
          </w:p>
        </w:tc>
        <w:tc>
          <w:tcPr>
            <w:tcW w:w="2304" w:type="dxa"/>
            <w:vAlign w:val="center"/>
          </w:tcPr>
          <w:p w14:paraId="00439109" w14:textId="77777777" w:rsidR="00051C16" w:rsidRDefault="00000000">
            <w:r>
              <w:rPr>
                <w:sz w:val="15"/>
              </w:rPr>
              <w:t>~$44K Field Services opportunity</w:t>
            </w:r>
          </w:p>
        </w:tc>
      </w:tr>
      <w:tr w:rsidR="00051C16" w14:paraId="3FB13F72" w14:textId="77777777">
        <w:trPr>
          <w:jc w:val="center"/>
        </w:trPr>
        <w:tc>
          <w:tcPr>
            <w:tcW w:w="2376" w:type="dxa"/>
            <w:shd w:val="clear" w:color="auto" w:fill="F5F7F9"/>
            <w:vAlign w:val="center"/>
          </w:tcPr>
          <w:p w14:paraId="4A03531F" w14:textId="77777777" w:rsidR="00051C16" w:rsidRDefault="00000000">
            <w:r>
              <w:rPr>
                <w:b/>
                <w:sz w:val="15"/>
              </w:rPr>
              <w:t>Analytical constraint</w:t>
            </w:r>
          </w:p>
        </w:tc>
        <w:tc>
          <w:tcPr>
            <w:tcW w:w="4608" w:type="dxa"/>
            <w:shd w:val="clear" w:color="auto" w:fill="F5F7F9"/>
            <w:vAlign w:val="center"/>
          </w:tcPr>
          <w:p w14:paraId="7C98AE44" w14:textId="77777777" w:rsidR="00051C16" w:rsidRDefault="00000000">
            <w:r>
              <w:rPr>
                <w:sz w:val="15"/>
              </w:rPr>
              <w:t>A result that cannot safely be treated as a primary conclusion</w:t>
            </w:r>
          </w:p>
        </w:tc>
        <w:tc>
          <w:tcPr>
            <w:tcW w:w="2304" w:type="dxa"/>
            <w:shd w:val="clear" w:color="auto" w:fill="F5F7F9"/>
            <w:vAlign w:val="center"/>
          </w:tcPr>
          <w:p w14:paraId="08625706" w14:textId="77777777" w:rsidR="00051C16" w:rsidRDefault="00000000">
            <w:r>
              <w:rPr>
                <w:sz w:val="15"/>
              </w:rPr>
              <w:t>Certain budget-variance conclusions</w:t>
            </w:r>
          </w:p>
        </w:tc>
      </w:tr>
    </w:tbl>
    <w:p w14:paraId="0DDBD015" w14:textId="77777777" w:rsidR="00051C16" w:rsidRDefault="00051C16">
      <w:pPr>
        <w:spacing w:after="20"/>
      </w:pPr>
    </w:p>
    <w:p w14:paraId="44CA7D09" w14:textId="77777777" w:rsidR="00051C16" w:rsidRDefault="00000000">
      <w:r>
        <w:br w:type="page"/>
      </w:r>
    </w:p>
    <w:p w14:paraId="272BA015" w14:textId="77777777" w:rsidR="00051C16" w:rsidRDefault="00000000">
      <w:pPr>
        <w:pStyle w:val="Heading1"/>
      </w:pPr>
      <w:r>
        <w:lastRenderedPageBreak/>
        <w:t>7. Workstream 1 - Data Quality &amp; Reporting Readiness</w:t>
      </w:r>
    </w:p>
    <w:p w14:paraId="4FA908FD" w14:textId="77777777" w:rsidR="00051C16" w:rsidRDefault="00000000">
      <w:pPr>
        <w:pStyle w:val="Heading2"/>
      </w:pPr>
      <w:r>
        <w:t>Objective</w:t>
      </w:r>
    </w:p>
    <w:p w14:paraId="22CAB711" w14:textId="77777777" w:rsidR="00051C16" w:rsidRDefault="00000000">
      <w:r>
        <w:t>Assess whether the extracted data was sufficiently clean and consistent for management-grade analysis, and remediate or flag material issues.</w:t>
      </w:r>
    </w:p>
    <w:p w14:paraId="55DDC2E5" w14:textId="77777777" w:rsidR="00051C16" w:rsidRDefault="00000000">
      <w:pPr>
        <w:pStyle w:val="Heading2"/>
      </w:pPr>
      <w:r>
        <w:t>Work performed</w:t>
      </w:r>
    </w:p>
    <w:p w14:paraId="378A9C1D" w14:textId="77777777" w:rsidR="00051C16" w:rsidRDefault="00000000">
      <w:pPr>
        <w:pStyle w:val="ListBullet"/>
        <w:spacing w:after="40"/>
        <w:ind w:left="317" w:hanging="173"/>
      </w:pPr>
      <w:r>
        <w:t>Reviewed data formats, field consistency, identifiers, dates, duplicates, and financial fields.</w:t>
      </w:r>
    </w:p>
    <w:p w14:paraId="5B93E4F7" w14:textId="77777777" w:rsidR="00051C16" w:rsidRDefault="00000000">
      <w:pPr>
        <w:pStyle w:val="ListBullet"/>
        <w:spacing w:after="40"/>
        <w:ind w:left="317" w:hanging="173"/>
      </w:pPr>
      <w:r>
        <w:t>Standardized text and classifications and corrected confirmed calculation errors.</w:t>
      </w:r>
    </w:p>
    <w:p w14:paraId="53C3CF2A" w14:textId="77777777" w:rsidR="00051C16" w:rsidRDefault="00000000">
      <w:pPr>
        <w:pStyle w:val="ListBullet"/>
        <w:spacing w:after="40"/>
        <w:ind w:left="317" w:hanging="173"/>
      </w:pPr>
      <w:r>
        <w:t>Separated confirmed data problems from valid business events and ambiguous cases.</w:t>
      </w:r>
    </w:p>
    <w:p w14:paraId="19EF6CA1" w14:textId="77777777" w:rsidR="00051C16" w:rsidRDefault="00000000">
      <w:pPr>
        <w:pStyle w:val="ListBullet"/>
        <w:spacing w:after="40"/>
        <w:ind w:left="317" w:hanging="173"/>
      </w:pPr>
      <w:r>
        <w:t>Created explicit rules for missing dates, unmatched IDs, negative quantities, duplicates, and cost imputation.</w:t>
      </w:r>
    </w:p>
    <w:p w14:paraId="11272552" w14:textId="77777777" w:rsidR="00051C16" w:rsidRDefault="00000000">
      <w:pPr>
        <w:pStyle w:val="ListBullet"/>
        <w:spacing w:after="40"/>
        <w:ind w:left="317" w:hanging="173"/>
      </w:pPr>
      <w:r>
        <w:t>Documented residual risks so downstream results could be interpreted appropriately.</w:t>
      </w:r>
    </w:p>
    <w:p w14:paraId="25CF838C" w14:textId="77777777" w:rsidR="00051C16" w:rsidRDefault="00000000">
      <w:pPr>
        <w:pStyle w:val="Heading2"/>
      </w:pPr>
      <w:r>
        <w:t>Conclusion</w:t>
      </w:r>
    </w:p>
    <w:tbl>
      <w:tblPr>
        <w:tblStyle w:val="TableGrid"/>
        <w:tblW w:w="0" w:type="auto"/>
        <w:jc w:val="center"/>
        <w:tblLook w:val="04A0" w:firstRow="1" w:lastRow="0" w:firstColumn="1" w:lastColumn="0" w:noHBand="0" w:noVBand="1"/>
      </w:tblPr>
      <w:tblGrid>
        <w:gridCol w:w="10166"/>
      </w:tblGrid>
      <w:tr w:rsidR="00051C16" w14:paraId="18F3CD37" w14:textId="77777777">
        <w:trPr>
          <w:tblHeader/>
          <w:jc w:val="center"/>
        </w:trPr>
        <w:tc>
          <w:tcPr>
            <w:tcW w:w="10166" w:type="dxa"/>
            <w:shd w:val="clear" w:color="auto" w:fill="EAF2F8"/>
          </w:tcPr>
          <w:p w14:paraId="24F653A6" w14:textId="77777777" w:rsidR="00051C16" w:rsidRDefault="00000000">
            <w:pPr>
              <w:spacing w:after="40"/>
            </w:pPr>
            <w:r>
              <w:rPr>
                <w:b/>
                <w:color w:val="1F4E6E"/>
              </w:rPr>
              <w:t>WS1 conclusion</w:t>
            </w:r>
            <w:r>
              <w:rPr>
                <w:sz w:val="17"/>
              </w:rPr>
              <w:t xml:space="preserve">  The dataset was made sufficiently reliable for structured H1 financial analysis, but not all source weaknesses could be eliminated. Reliable analysis therefore depended on explicit treatment rules and caveats.</w:t>
            </w:r>
          </w:p>
        </w:tc>
      </w:tr>
    </w:tbl>
    <w:p w14:paraId="5C147C83" w14:textId="77777777" w:rsidR="00051C16" w:rsidRDefault="00051C16">
      <w:pPr>
        <w:spacing w:after="20"/>
      </w:pPr>
    </w:p>
    <w:p w14:paraId="18F99D03" w14:textId="77777777" w:rsidR="00051C16" w:rsidRDefault="00000000">
      <w:pPr>
        <w:pStyle w:val="Heading2"/>
      </w:pPr>
      <w:r>
        <w:t>Residual risks</w:t>
      </w:r>
    </w:p>
    <w:p w14:paraId="3B093363" w14:textId="77777777" w:rsidR="00051C16" w:rsidRDefault="00000000">
      <w:r>
        <w:t>Remaining risks were concentrated around incomplete attribution, ambiguous negative quantities, imputed cost observations, and budget comparability. These risks were carried into interpretation rather than hidden.</w:t>
      </w:r>
    </w:p>
    <w:p w14:paraId="6B0538C0" w14:textId="77777777" w:rsidR="00051C16" w:rsidRDefault="00000000">
      <w:pPr>
        <w:pStyle w:val="Heading1"/>
      </w:pPr>
      <w:r>
        <w:t>8. Workstream 2 - Revenue Performance</w:t>
      </w:r>
    </w:p>
    <w:p w14:paraId="425F0B25" w14:textId="77777777" w:rsidR="00051C16" w:rsidRDefault="00000000">
      <w:pPr>
        <w:pStyle w:val="Heading2"/>
      </w:pPr>
      <w:r>
        <w:t>Objective</w:t>
      </w:r>
    </w:p>
    <w:p w14:paraId="533B6BC6" w14:textId="77777777" w:rsidR="00051C16" w:rsidRDefault="00000000">
      <w:r>
        <w:t>Understand absolute revenue, the contribution of major business dimensions, and whether revenue concentration aligns with attractive profitability.</w:t>
      </w:r>
    </w:p>
    <w:p w14:paraId="29A262E6" w14:textId="77777777" w:rsidR="00051C16" w:rsidRDefault="00000000">
      <w:pPr>
        <w:pStyle w:val="Heading2"/>
      </w:pPr>
      <w:r>
        <w:t>8.1 Revenue Bridge</w:t>
      </w:r>
    </w:p>
    <w:tbl>
      <w:tblPr>
        <w:tblStyle w:val="TableGrid"/>
        <w:tblW w:w="0" w:type="auto"/>
        <w:jc w:val="center"/>
        <w:tblLook w:val="04A0" w:firstRow="1" w:lastRow="0" w:firstColumn="1" w:lastColumn="0" w:noHBand="0" w:noVBand="1"/>
      </w:tblPr>
      <w:tblGrid>
        <w:gridCol w:w="2232"/>
        <w:gridCol w:w="2232"/>
        <w:gridCol w:w="4752"/>
      </w:tblGrid>
      <w:tr w:rsidR="00051C16" w14:paraId="41DECE4E" w14:textId="77777777">
        <w:trPr>
          <w:tblHeader/>
          <w:jc w:val="center"/>
        </w:trPr>
        <w:tc>
          <w:tcPr>
            <w:tcW w:w="2232" w:type="dxa"/>
            <w:shd w:val="clear" w:color="auto" w:fill="1F4E6E"/>
            <w:vAlign w:val="center"/>
          </w:tcPr>
          <w:p w14:paraId="55B8CE78" w14:textId="77777777" w:rsidR="00051C16" w:rsidRDefault="00000000">
            <w:pPr>
              <w:jc w:val="center"/>
            </w:pPr>
            <w:r>
              <w:rPr>
                <w:b/>
                <w:color w:val="FFFFFF"/>
                <w:sz w:val="16"/>
              </w:rPr>
              <w:t>Metric</w:t>
            </w:r>
          </w:p>
        </w:tc>
        <w:tc>
          <w:tcPr>
            <w:tcW w:w="2232" w:type="dxa"/>
            <w:shd w:val="clear" w:color="auto" w:fill="1F4E6E"/>
            <w:vAlign w:val="center"/>
          </w:tcPr>
          <w:p w14:paraId="2DD5C549" w14:textId="77777777" w:rsidR="00051C16" w:rsidRDefault="00000000">
            <w:pPr>
              <w:jc w:val="center"/>
            </w:pPr>
            <w:r>
              <w:rPr>
                <w:b/>
                <w:color w:val="FFFFFF"/>
                <w:sz w:val="16"/>
              </w:rPr>
              <w:t>Value</w:t>
            </w:r>
          </w:p>
        </w:tc>
        <w:tc>
          <w:tcPr>
            <w:tcW w:w="4752" w:type="dxa"/>
            <w:shd w:val="clear" w:color="auto" w:fill="1F4E6E"/>
            <w:vAlign w:val="center"/>
          </w:tcPr>
          <w:p w14:paraId="7CFE4660" w14:textId="77777777" w:rsidR="00051C16" w:rsidRDefault="00000000">
            <w:pPr>
              <w:jc w:val="center"/>
            </w:pPr>
            <w:r>
              <w:rPr>
                <w:b/>
                <w:color w:val="FFFFFF"/>
                <w:sz w:val="16"/>
              </w:rPr>
              <w:t>Comment</w:t>
            </w:r>
          </w:p>
        </w:tc>
      </w:tr>
      <w:tr w:rsidR="00051C16" w14:paraId="2B358BDB" w14:textId="77777777">
        <w:trPr>
          <w:jc w:val="center"/>
        </w:trPr>
        <w:tc>
          <w:tcPr>
            <w:tcW w:w="2232" w:type="dxa"/>
            <w:vAlign w:val="center"/>
          </w:tcPr>
          <w:p w14:paraId="1B9D62E0" w14:textId="77777777" w:rsidR="00051C16" w:rsidRDefault="00000000">
            <w:r>
              <w:rPr>
                <w:b/>
                <w:sz w:val="15"/>
              </w:rPr>
              <w:t>Gross Revenue</w:t>
            </w:r>
          </w:p>
        </w:tc>
        <w:tc>
          <w:tcPr>
            <w:tcW w:w="2232" w:type="dxa"/>
            <w:vAlign w:val="center"/>
          </w:tcPr>
          <w:p w14:paraId="7FE6EB5C" w14:textId="77777777" w:rsidR="00051C16" w:rsidRDefault="00000000">
            <w:r>
              <w:rPr>
                <w:sz w:val="15"/>
              </w:rPr>
              <w:t>$4,602,695</w:t>
            </w:r>
          </w:p>
        </w:tc>
        <w:tc>
          <w:tcPr>
            <w:tcW w:w="4752" w:type="dxa"/>
            <w:vAlign w:val="center"/>
          </w:tcPr>
          <w:p w14:paraId="58E02D45" w14:textId="77777777" w:rsidR="00051C16" w:rsidRDefault="00000000">
            <w:r>
              <w:rPr>
                <w:sz w:val="15"/>
              </w:rPr>
              <w:t>Validated H1 2025 gross revenue</w:t>
            </w:r>
          </w:p>
        </w:tc>
      </w:tr>
      <w:tr w:rsidR="00051C16" w14:paraId="0EDC1CB4" w14:textId="77777777">
        <w:trPr>
          <w:jc w:val="center"/>
        </w:trPr>
        <w:tc>
          <w:tcPr>
            <w:tcW w:w="2232" w:type="dxa"/>
            <w:shd w:val="clear" w:color="auto" w:fill="F5F7F9"/>
            <w:vAlign w:val="center"/>
          </w:tcPr>
          <w:p w14:paraId="40431797" w14:textId="77777777" w:rsidR="00051C16" w:rsidRDefault="00000000">
            <w:r>
              <w:rPr>
                <w:b/>
                <w:sz w:val="15"/>
              </w:rPr>
              <w:t>Discounts</w:t>
            </w:r>
          </w:p>
        </w:tc>
        <w:tc>
          <w:tcPr>
            <w:tcW w:w="2232" w:type="dxa"/>
            <w:shd w:val="clear" w:color="auto" w:fill="F5F7F9"/>
            <w:vAlign w:val="center"/>
          </w:tcPr>
          <w:p w14:paraId="68ECDD2F" w14:textId="77777777" w:rsidR="00051C16" w:rsidRDefault="00000000">
            <w:r>
              <w:rPr>
                <w:sz w:val="15"/>
              </w:rPr>
              <w:t>$674,629.71</w:t>
            </w:r>
          </w:p>
        </w:tc>
        <w:tc>
          <w:tcPr>
            <w:tcW w:w="4752" w:type="dxa"/>
            <w:shd w:val="clear" w:color="auto" w:fill="F5F7F9"/>
            <w:vAlign w:val="center"/>
          </w:tcPr>
          <w:p w14:paraId="61EE5267" w14:textId="77777777" w:rsidR="00051C16" w:rsidRDefault="00000000">
            <w:r>
              <w:rPr>
                <w:sz w:val="15"/>
              </w:rPr>
              <w:t>Reduction between gross and net revenue</w:t>
            </w:r>
          </w:p>
        </w:tc>
      </w:tr>
      <w:tr w:rsidR="00051C16" w14:paraId="4A299613" w14:textId="77777777">
        <w:trPr>
          <w:jc w:val="center"/>
        </w:trPr>
        <w:tc>
          <w:tcPr>
            <w:tcW w:w="2232" w:type="dxa"/>
            <w:vAlign w:val="center"/>
          </w:tcPr>
          <w:p w14:paraId="2D45CC5B" w14:textId="77777777" w:rsidR="00051C16" w:rsidRDefault="00000000">
            <w:r>
              <w:rPr>
                <w:b/>
                <w:sz w:val="15"/>
              </w:rPr>
              <w:t>Net Revenue</w:t>
            </w:r>
          </w:p>
        </w:tc>
        <w:tc>
          <w:tcPr>
            <w:tcW w:w="2232" w:type="dxa"/>
            <w:vAlign w:val="center"/>
          </w:tcPr>
          <w:p w14:paraId="69BD83EA" w14:textId="77777777" w:rsidR="00051C16" w:rsidRDefault="00000000">
            <w:r>
              <w:rPr>
                <w:sz w:val="15"/>
              </w:rPr>
              <w:t>$3,928,065.29</w:t>
            </w:r>
          </w:p>
        </w:tc>
        <w:tc>
          <w:tcPr>
            <w:tcW w:w="4752" w:type="dxa"/>
            <w:vAlign w:val="center"/>
          </w:tcPr>
          <w:p w14:paraId="267AA571" w14:textId="77777777" w:rsidR="00051C16" w:rsidRDefault="00000000">
            <w:r>
              <w:rPr>
                <w:sz w:val="15"/>
              </w:rPr>
              <w:t>Validated post-discount revenue</w:t>
            </w:r>
          </w:p>
        </w:tc>
      </w:tr>
      <w:tr w:rsidR="00051C16" w14:paraId="245DAB76" w14:textId="77777777">
        <w:trPr>
          <w:jc w:val="center"/>
        </w:trPr>
        <w:tc>
          <w:tcPr>
            <w:tcW w:w="2232" w:type="dxa"/>
            <w:shd w:val="clear" w:color="auto" w:fill="F5F7F9"/>
            <w:vAlign w:val="center"/>
          </w:tcPr>
          <w:p w14:paraId="386F2F52" w14:textId="77777777" w:rsidR="00051C16" w:rsidRDefault="00000000">
            <w:r>
              <w:rPr>
                <w:b/>
                <w:sz w:val="15"/>
              </w:rPr>
              <w:t>Discount rate</w:t>
            </w:r>
          </w:p>
        </w:tc>
        <w:tc>
          <w:tcPr>
            <w:tcW w:w="2232" w:type="dxa"/>
            <w:shd w:val="clear" w:color="auto" w:fill="F5F7F9"/>
            <w:vAlign w:val="center"/>
          </w:tcPr>
          <w:p w14:paraId="1C771D28" w14:textId="77777777" w:rsidR="00051C16" w:rsidRDefault="00000000">
            <w:r>
              <w:rPr>
                <w:sz w:val="15"/>
              </w:rPr>
              <w:t>14.66%</w:t>
            </w:r>
          </w:p>
        </w:tc>
        <w:tc>
          <w:tcPr>
            <w:tcW w:w="4752" w:type="dxa"/>
            <w:shd w:val="clear" w:color="auto" w:fill="F5F7F9"/>
            <w:vAlign w:val="center"/>
          </w:tcPr>
          <w:p w14:paraId="20A63C22" w14:textId="77777777" w:rsidR="00051C16" w:rsidRDefault="00000000">
            <w:r>
              <w:rPr>
                <w:sz w:val="15"/>
              </w:rPr>
              <w:t>Discounts / Gross Revenue</w:t>
            </w:r>
          </w:p>
        </w:tc>
      </w:tr>
    </w:tbl>
    <w:p w14:paraId="38878FCE" w14:textId="77777777" w:rsidR="00051C16" w:rsidRDefault="00051C16">
      <w:pPr>
        <w:spacing w:after="20"/>
      </w:pPr>
    </w:p>
    <w:p w14:paraId="43A4A5AE" w14:textId="77777777" w:rsidR="00051C16" w:rsidRDefault="00000000">
      <w:r>
        <w:t>The revenue bridge establishes the first central observation: the company generated significant top-line value, but a meaningful portion of gross revenue did not convert to net revenue because of discounting.</w:t>
      </w:r>
    </w:p>
    <w:p w14:paraId="1E74E7DE" w14:textId="77777777" w:rsidR="00051C16" w:rsidRDefault="00000000">
      <w:pPr>
        <w:pStyle w:val="Heading2"/>
      </w:pPr>
      <w:r>
        <w:t>8.2 Revenue Concentration</w:t>
      </w:r>
    </w:p>
    <w:tbl>
      <w:tblPr>
        <w:tblStyle w:val="TableGrid"/>
        <w:tblW w:w="0" w:type="auto"/>
        <w:jc w:val="center"/>
        <w:tblLook w:val="04A0" w:firstRow="1" w:lastRow="0" w:firstColumn="1" w:lastColumn="0" w:noHBand="0" w:noVBand="1"/>
      </w:tblPr>
      <w:tblGrid>
        <w:gridCol w:w="2232"/>
        <w:gridCol w:w="3744"/>
        <w:gridCol w:w="3312"/>
      </w:tblGrid>
      <w:tr w:rsidR="00051C16" w14:paraId="678307A6" w14:textId="77777777">
        <w:trPr>
          <w:tblHeader/>
          <w:jc w:val="center"/>
        </w:trPr>
        <w:tc>
          <w:tcPr>
            <w:tcW w:w="2232" w:type="dxa"/>
            <w:shd w:val="clear" w:color="auto" w:fill="1F4E6E"/>
            <w:vAlign w:val="center"/>
          </w:tcPr>
          <w:p w14:paraId="05EFF975" w14:textId="77777777" w:rsidR="00051C16" w:rsidRDefault="00000000">
            <w:pPr>
              <w:jc w:val="center"/>
            </w:pPr>
            <w:r>
              <w:rPr>
                <w:b/>
                <w:color w:val="FFFFFF"/>
                <w:sz w:val="16"/>
              </w:rPr>
              <w:t>Dimension</w:t>
            </w:r>
          </w:p>
        </w:tc>
        <w:tc>
          <w:tcPr>
            <w:tcW w:w="3744" w:type="dxa"/>
            <w:shd w:val="clear" w:color="auto" w:fill="1F4E6E"/>
            <w:vAlign w:val="center"/>
          </w:tcPr>
          <w:p w14:paraId="6241ADC2" w14:textId="77777777" w:rsidR="00051C16" w:rsidRDefault="00000000">
            <w:pPr>
              <w:jc w:val="center"/>
            </w:pPr>
            <w:r>
              <w:rPr>
                <w:b/>
                <w:color w:val="FFFFFF"/>
                <w:sz w:val="16"/>
              </w:rPr>
              <w:t>Finding</w:t>
            </w:r>
          </w:p>
        </w:tc>
        <w:tc>
          <w:tcPr>
            <w:tcW w:w="3312" w:type="dxa"/>
            <w:shd w:val="clear" w:color="auto" w:fill="1F4E6E"/>
            <w:vAlign w:val="center"/>
          </w:tcPr>
          <w:p w14:paraId="0CB3C46B" w14:textId="77777777" w:rsidR="00051C16" w:rsidRDefault="00000000">
            <w:pPr>
              <w:jc w:val="center"/>
            </w:pPr>
            <w:r>
              <w:rPr>
                <w:b/>
                <w:color w:val="FFFFFF"/>
                <w:sz w:val="16"/>
              </w:rPr>
              <w:t>Interpretation</w:t>
            </w:r>
          </w:p>
        </w:tc>
      </w:tr>
      <w:tr w:rsidR="00051C16" w14:paraId="6DF3FA1D" w14:textId="77777777">
        <w:trPr>
          <w:jc w:val="center"/>
        </w:trPr>
        <w:tc>
          <w:tcPr>
            <w:tcW w:w="2232" w:type="dxa"/>
            <w:vAlign w:val="center"/>
          </w:tcPr>
          <w:p w14:paraId="28C94FC9" w14:textId="77777777" w:rsidR="00051C16" w:rsidRDefault="00000000">
            <w:r>
              <w:rPr>
                <w:b/>
                <w:sz w:val="15"/>
              </w:rPr>
              <w:t>Business Unit</w:t>
            </w:r>
          </w:p>
        </w:tc>
        <w:tc>
          <w:tcPr>
            <w:tcW w:w="3744" w:type="dxa"/>
            <w:vAlign w:val="center"/>
          </w:tcPr>
          <w:p w14:paraId="4E069BC0" w14:textId="77777777" w:rsidR="00051C16" w:rsidRDefault="00000000">
            <w:r>
              <w:rPr>
                <w:sz w:val="15"/>
              </w:rPr>
              <w:t>Sensors &amp; Instruments = 57.59% of H1 Net Revenue</w:t>
            </w:r>
          </w:p>
        </w:tc>
        <w:tc>
          <w:tcPr>
            <w:tcW w:w="3312" w:type="dxa"/>
            <w:vAlign w:val="center"/>
          </w:tcPr>
          <w:p w14:paraId="6E91E465" w14:textId="77777777" w:rsidR="00051C16" w:rsidRDefault="00000000">
            <w:r>
              <w:rPr>
                <w:sz w:val="15"/>
              </w:rPr>
              <w:t>Largest revenue engine; concentration increases the importance of product-level economics and mix management</w:t>
            </w:r>
          </w:p>
        </w:tc>
      </w:tr>
      <w:tr w:rsidR="00051C16" w14:paraId="65DA39F7" w14:textId="77777777">
        <w:trPr>
          <w:jc w:val="center"/>
        </w:trPr>
        <w:tc>
          <w:tcPr>
            <w:tcW w:w="2232" w:type="dxa"/>
            <w:shd w:val="clear" w:color="auto" w:fill="F5F7F9"/>
            <w:vAlign w:val="center"/>
          </w:tcPr>
          <w:p w14:paraId="43CF1B74" w14:textId="77777777" w:rsidR="00051C16" w:rsidRDefault="00000000">
            <w:r>
              <w:rPr>
                <w:b/>
                <w:sz w:val="15"/>
              </w:rPr>
              <w:t>Software &amp; Analytics</w:t>
            </w:r>
          </w:p>
        </w:tc>
        <w:tc>
          <w:tcPr>
            <w:tcW w:w="3744" w:type="dxa"/>
            <w:shd w:val="clear" w:color="auto" w:fill="F5F7F9"/>
            <w:vAlign w:val="center"/>
          </w:tcPr>
          <w:p w14:paraId="7B5D00C9" w14:textId="77777777" w:rsidR="00051C16" w:rsidRDefault="00000000">
            <w:r>
              <w:rPr>
                <w:sz w:val="15"/>
              </w:rPr>
              <w:t>High contribution economics despite lower revenue scale than the largest BU</w:t>
            </w:r>
          </w:p>
        </w:tc>
        <w:tc>
          <w:tcPr>
            <w:tcW w:w="3312" w:type="dxa"/>
            <w:shd w:val="clear" w:color="auto" w:fill="F5F7F9"/>
            <w:vAlign w:val="center"/>
          </w:tcPr>
          <w:p w14:paraId="39F42272" w14:textId="77777777" w:rsidR="00051C16" w:rsidRDefault="00000000">
            <w:r>
              <w:rPr>
                <w:sz w:val="15"/>
              </w:rPr>
              <w:t>Potential value-creation opportunity</w:t>
            </w:r>
          </w:p>
        </w:tc>
      </w:tr>
      <w:tr w:rsidR="00051C16" w14:paraId="337A845D" w14:textId="77777777">
        <w:trPr>
          <w:jc w:val="center"/>
        </w:trPr>
        <w:tc>
          <w:tcPr>
            <w:tcW w:w="2232" w:type="dxa"/>
            <w:vAlign w:val="center"/>
          </w:tcPr>
          <w:p w14:paraId="7FEEAEAA" w14:textId="77777777" w:rsidR="00051C16" w:rsidRDefault="00000000">
            <w:r>
              <w:rPr>
                <w:b/>
                <w:sz w:val="15"/>
              </w:rPr>
              <w:t>Field Services</w:t>
            </w:r>
          </w:p>
        </w:tc>
        <w:tc>
          <w:tcPr>
            <w:tcW w:w="3744" w:type="dxa"/>
            <w:vAlign w:val="center"/>
          </w:tcPr>
          <w:p w14:paraId="02AFAC38" w14:textId="77777777" w:rsidR="00051C16" w:rsidRDefault="00000000">
            <w:r>
              <w:rPr>
                <w:sz w:val="15"/>
              </w:rPr>
              <w:t>Lower contribution economics than the other BUs</w:t>
            </w:r>
          </w:p>
        </w:tc>
        <w:tc>
          <w:tcPr>
            <w:tcW w:w="3312" w:type="dxa"/>
            <w:vAlign w:val="center"/>
          </w:tcPr>
          <w:p w14:paraId="286E8895" w14:textId="77777777" w:rsidR="00051C16" w:rsidRDefault="00000000">
            <w:r>
              <w:rPr>
                <w:sz w:val="15"/>
              </w:rPr>
              <w:t>Revenue quality is less attractive unless pricing/utilization improves</w:t>
            </w:r>
          </w:p>
        </w:tc>
      </w:tr>
    </w:tbl>
    <w:p w14:paraId="7E34B228" w14:textId="77777777" w:rsidR="00051C16" w:rsidRDefault="00051C16">
      <w:pPr>
        <w:spacing w:after="20"/>
      </w:pPr>
    </w:p>
    <w:p w14:paraId="46A3A895" w14:textId="77777777" w:rsidR="00051C16" w:rsidRDefault="00000000">
      <w:pPr>
        <w:pStyle w:val="Heading2"/>
      </w:pPr>
      <w:r>
        <w:t>8.3 Revenue Workstream Conclusion</w:t>
      </w:r>
    </w:p>
    <w:tbl>
      <w:tblPr>
        <w:tblStyle w:val="TableGrid"/>
        <w:tblW w:w="0" w:type="auto"/>
        <w:jc w:val="center"/>
        <w:tblLook w:val="04A0" w:firstRow="1" w:lastRow="0" w:firstColumn="1" w:lastColumn="0" w:noHBand="0" w:noVBand="1"/>
      </w:tblPr>
      <w:tblGrid>
        <w:gridCol w:w="10166"/>
      </w:tblGrid>
      <w:tr w:rsidR="00051C16" w14:paraId="53A0E092" w14:textId="77777777">
        <w:trPr>
          <w:tblHeader/>
          <w:jc w:val="center"/>
        </w:trPr>
        <w:tc>
          <w:tcPr>
            <w:tcW w:w="10166" w:type="dxa"/>
            <w:shd w:val="clear" w:color="auto" w:fill="EAF2F8"/>
          </w:tcPr>
          <w:p w14:paraId="0F87464E" w14:textId="77777777" w:rsidR="00051C16" w:rsidRDefault="00000000">
            <w:pPr>
              <w:spacing w:after="40"/>
            </w:pPr>
            <w:r>
              <w:rPr>
                <w:b/>
                <w:color w:val="1F4E6E"/>
              </w:rPr>
              <w:t>WS2 conclusion</w:t>
            </w:r>
            <w:r>
              <w:rPr>
                <w:sz w:val="17"/>
              </w:rPr>
              <w:t xml:space="preserve">  Revenue growth and revenue concentration do not automatically indicate profitable growth. The analysis therefore shifts attention from "how much revenue?" to "what kind of revenue, at what discount, cost, and contribution margin?"</w:t>
            </w:r>
          </w:p>
        </w:tc>
      </w:tr>
    </w:tbl>
    <w:p w14:paraId="5DD430C1" w14:textId="77777777" w:rsidR="00051C16" w:rsidRDefault="00051C16">
      <w:pPr>
        <w:spacing w:after="20"/>
      </w:pPr>
    </w:p>
    <w:p w14:paraId="305F55A6" w14:textId="77777777" w:rsidR="00051C16" w:rsidRDefault="00000000">
      <w:pPr>
        <w:pStyle w:val="Heading1"/>
      </w:pPr>
      <w:r>
        <w:t>9. Workstream 3 - Discount &amp; Pricing Realization</w:t>
      </w:r>
    </w:p>
    <w:p w14:paraId="54658C9B" w14:textId="77777777" w:rsidR="00051C16" w:rsidRDefault="00000000">
      <w:pPr>
        <w:pStyle w:val="Heading2"/>
      </w:pPr>
      <w:r>
        <w:t>Objective</w:t>
      </w:r>
    </w:p>
    <w:p w14:paraId="56D00534" w14:textId="77777777" w:rsidR="00051C16" w:rsidRDefault="00000000">
      <w:r>
        <w:t>Analyze the gap between gross and net revenue, identify where discounting is heaviest, and determine whether discounting appears to weaken revenue realization.</w:t>
      </w:r>
    </w:p>
    <w:p w14:paraId="05646F24" w14:textId="77777777" w:rsidR="00051C16" w:rsidRDefault="00000000">
      <w:pPr>
        <w:pStyle w:val="Heading2"/>
      </w:pPr>
      <w:r>
        <w:t>9.1 Core Findings</w:t>
      </w:r>
    </w:p>
    <w:tbl>
      <w:tblPr>
        <w:tblStyle w:val="TableGrid"/>
        <w:tblW w:w="0" w:type="auto"/>
        <w:jc w:val="center"/>
        <w:tblLook w:val="04A0" w:firstRow="1" w:lastRow="0" w:firstColumn="1" w:lastColumn="0" w:noHBand="0" w:noVBand="1"/>
      </w:tblPr>
      <w:tblGrid>
        <w:gridCol w:w="2880"/>
        <w:gridCol w:w="2376"/>
        <w:gridCol w:w="4176"/>
      </w:tblGrid>
      <w:tr w:rsidR="00051C16" w14:paraId="484F80C4" w14:textId="77777777">
        <w:trPr>
          <w:tblHeader/>
          <w:jc w:val="center"/>
        </w:trPr>
        <w:tc>
          <w:tcPr>
            <w:tcW w:w="2880" w:type="dxa"/>
            <w:shd w:val="clear" w:color="auto" w:fill="1F4E6E"/>
            <w:vAlign w:val="center"/>
          </w:tcPr>
          <w:p w14:paraId="790863FC" w14:textId="77777777" w:rsidR="00051C16" w:rsidRDefault="00000000">
            <w:pPr>
              <w:jc w:val="center"/>
            </w:pPr>
            <w:r>
              <w:rPr>
                <w:b/>
                <w:color w:val="FFFFFF"/>
                <w:sz w:val="16"/>
              </w:rPr>
              <w:t>Metric / observation</w:t>
            </w:r>
          </w:p>
        </w:tc>
        <w:tc>
          <w:tcPr>
            <w:tcW w:w="2376" w:type="dxa"/>
            <w:shd w:val="clear" w:color="auto" w:fill="1F4E6E"/>
            <w:vAlign w:val="center"/>
          </w:tcPr>
          <w:p w14:paraId="51F0A552" w14:textId="77777777" w:rsidR="00051C16" w:rsidRDefault="00000000">
            <w:pPr>
              <w:jc w:val="center"/>
            </w:pPr>
            <w:r>
              <w:rPr>
                <w:b/>
                <w:color w:val="FFFFFF"/>
                <w:sz w:val="16"/>
              </w:rPr>
              <w:t>Result</w:t>
            </w:r>
          </w:p>
        </w:tc>
        <w:tc>
          <w:tcPr>
            <w:tcW w:w="4176" w:type="dxa"/>
            <w:shd w:val="clear" w:color="auto" w:fill="1F4E6E"/>
            <w:vAlign w:val="center"/>
          </w:tcPr>
          <w:p w14:paraId="18030E7D" w14:textId="77777777" w:rsidR="00051C16" w:rsidRDefault="00000000">
            <w:pPr>
              <w:jc w:val="center"/>
            </w:pPr>
            <w:r>
              <w:rPr>
                <w:b/>
                <w:color w:val="FFFFFF"/>
                <w:sz w:val="16"/>
              </w:rPr>
              <w:t>Interpretation</w:t>
            </w:r>
          </w:p>
        </w:tc>
      </w:tr>
      <w:tr w:rsidR="00051C16" w14:paraId="1108DBBB" w14:textId="77777777">
        <w:trPr>
          <w:jc w:val="center"/>
        </w:trPr>
        <w:tc>
          <w:tcPr>
            <w:tcW w:w="2880" w:type="dxa"/>
            <w:vAlign w:val="center"/>
          </w:tcPr>
          <w:p w14:paraId="2D0BB140" w14:textId="77777777" w:rsidR="00051C16" w:rsidRDefault="00000000">
            <w:r>
              <w:rPr>
                <w:b/>
                <w:sz w:val="15"/>
              </w:rPr>
              <w:t>Total discounts</w:t>
            </w:r>
          </w:p>
        </w:tc>
        <w:tc>
          <w:tcPr>
            <w:tcW w:w="2376" w:type="dxa"/>
            <w:vAlign w:val="center"/>
          </w:tcPr>
          <w:p w14:paraId="349BBA1E" w14:textId="77777777" w:rsidR="00051C16" w:rsidRDefault="00000000">
            <w:r>
              <w:rPr>
                <w:sz w:val="15"/>
              </w:rPr>
              <w:t>$674.6K</w:t>
            </w:r>
          </w:p>
        </w:tc>
        <w:tc>
          <w:tcPr>
            <w:tcW w:w="4176" w:type="dxa"/>
            <w:vAlign w:val="center"/>
          </w:tcPr>
          <w:p w14:paraId="553FF0E1" w14:textId="77777777" w:rsidR="00051C16" w:rsidRDefault="00000000">
            <w:r>
              <w:rPr>
                <w:sz w:val="15"/>
              </w:rPr>
              <w:t>Material reduction from gross to net revenue</w:t>
            </w:r>
          </w:p>
        </w:tc>
      </w:tr>
      <w:tr w:rsidR="00051C16" w14:paraId="7422804D" w14:textId="77777777">
        <w:trPr>
          <w:jc w:val="center"/>
        </w:trPr>
        <w:tc>
          <w:tcPr>
            <w:tcW w:w="2880" w:type="dxa"/>
            <w:shd w:val="clear" w:color="auto" w:fill="F5F7F9"/>
            <w:vAlign w:val="center"/>
          </w:tcPr>
          <w:p w14:paraId="1BE24F4E" w14:textId="77777777" w:rsidR="00051C16" w:rsidRDefault="00000000">
            <w:r>
              <w:rPr>
                <w:b/>
                <w:sz w:val="15"/>
              </w:rPr>
              <w:t>Overall discount rate</w:t>
            </w:r>
          </w:p>
        </w:tc>
        <w:tc>
          <w:tcPr>
            <w:tcW w:w="2376" w:type="dxa"/>
            <w:shd w:val="clear" w:color="auto" w:fill="F5F7F9"/>
            <w:vAlign w:val="center"/>
          </w:tcPr>
          <w:p w14:paraId="540929EB" w14:textId="77777777" w:rsidR="00051C16" w:rsidRDefault="00000000">
            <w:r>
              <w:rPr>
                <w:sz w:val="15"/>
              </w:rPr>
              <w:t>14.66%</w:t>
            </w:r>
          </w:p>
        </w:tc>
        <w:tc>
          <w:tcPr>
            <w:tcW w:w="4176" w:type="dxa"/>
            <w:shd w:val="clear" w:color="auto" w:fill="F5F7F9"/>
            <w:vAlign w:val="center"/>
          </w:tcPr>
          <w:p w14:paraId="7E99FA41" w14:textId="77777777" w:rsidR="00051C16" w:rsidRDefault="00000000">
            <w:r>
              <w:rPr>
                <w:sz w:val="15"/>
              </w:rPr>
              <w:t>Shows the overall scale of revenue dilution</w:t>
            </w:r>
          </w:p>
        </w:tc>
      </w:tr>
      <w:tr w:rsidR="00051C16" w14:paraId="654113D5" w14:textId="77777777">
        <w:trPr>
          <w:jc w:val="center"/>
        </w:trPr>
        <w:tc>
          <w:tcPr>
            <w:tcW w:w="2880" w:type="dxa"/>
            <w:vAlign w:val="center"/>
          </w:tcPr>
          <w:p w14:paraId="6AA1115E" w14:textId="77777777" w:rsidR="00051C16" w:rsidRDefault="00000000">
            <w:r>
              <w:rPr>
                <w:b/>
                <w:sz w:val="15"/>
              </w:rPr>
              <w:t>Distributor + Strategic exposure</w:t>
            </w:r>
          </w:p>
        </w:tc>
        <w:tc>
          <w:tcPr>
            <w:tcW w:w="2376" w:type="dxa"/>
            <w:vAlign w:val="center"/>
          </w:tcPr>
          <w:p w14:paraId="402425AE" w14:textId="77777777" w:rsidR="00051C16" w:rsidRDefault="00000000">
            <w:r>
              <w:rPr>
                <w:sz w:val="15"/>
              </w:rPr>
              <w:t>~$510.8K</w:t>
            </w:r>
          </w:p>
        </w:tc>
        <w:tc>
          <w:tcPr>
            <w:tcW w:w="4176" w:type="dxa"/>
            <w:vAlign w:val="center"/>
          </w:tcPr>
          <w:p w14:paraId="45C65895" w14:textId="77777777" w:rsidR="00051C16" w:rsidRDefault="00000000">
            <w:r>
              <w:rPr>
                <w:sz w:val="15"/>
              </w:rPr>
              <w:t>Largest quantified exposure identified</w:t>
            </w:r>
          </w:p>
        </w:tc>
      </w:tr>
      <w:tr w:rsidR="00051C16" w14:paraId="37BF7EDF" w14:textId="77777777">
        <w:trPr>
          <w:jc w:val="center"/>
        </w:trPr>
        <w:tc>
          <w:tcPr>
            <w:tcW w:w="2880" w:type="dxa"/>
            <w:shd w:val="clear" w:color="auto" w:fill="F5F7F9"/>
            <w:vAlign w:val="center"/>
          </w:tcPr>
          <w:p w14:paraId="0CA2CC11" w14:textId="77777777" w:rsidR="00051C16" w:rsidRDefault="00000000">
            <w:r>
              <w:rPr>
                <w:b/>
                <w:sz w:val="15"/>
              </w:rPr>
              <w:t>Excess discounting conclusion</w:t>
            </w:r>
          </w:p>
        </w:tc>
        <w:tc>
          <w:tcPr>
            <w:tcW w:w="2376" w:type="dxa"/>
            <w:shd w:val="clear" w:color="auto" w:fill="F5F7F9"/>
            <w:vAlign w:val="center"/>
          </w:tcPr>
          <w:p w14:paraId="5C7B5B0D" w14:textId="77777777" w:rsidR="00051C16" w:rsidRDefault="00000000">
            <w:r>
              <w:rPr>
                <w:sz w:val="15"/>
              </w:rPr>
              <w:t>Not proven</w:t>
            </w:r>
          </w:p>
        </w:tc>
        <w:tc>
          <w:tcPr>
            <w:tcW w:w="4176" w:type="dxa"/>
            <w:shd w:val="clear" w:color="auto" w:fill="F5F7F9"/>
            <w:vAlign w:val="center"/>
          </w:tcPr>
          <w:p w14:paraId="0360E861" w14:textId="77777777" w:rsidR="00051C16" w:rsidRDefault="00000000">
            <w:r>
              <w:rPr>
                <w:sz w:val="15"/>
              </w:rPr>
              <w:t>No approved target-discount benchmark was available</w:t>
            </w:r>
          </w:p>
        </w:tc>
      </w:tr>
    </w:tbl>
    <w:p w14:paraId="4872FC3D" w14:textId="77777777" w:rsidR="00051C16" w:rsidRDefault="00051C16">
      <w:pPr>
        <w:spacing w:after="20"/>
      </w:pPr>
    </w:p>
    <w:p w14:paraId="7E439815" w14:textId="77777777" w:rsidR="00051C16" w:rsidRDefault="00000000">
      <w:r>
        <w:t>The ~ $510.8K Distributor and Strategic figure should be interpreted as revenue surrendered through discounting, not as a confirmed profit loss. Some discounts may be commercially rational because of customer value, volume, contract terms, or strategic considerations.</w:t>
      </w:r>
    </w:p>
    <w:p w14:paraId="022E5B5D" w14:textId="77777777" w:rsidR="00051C16" w:rsidRDefault="00000000">
      <w:pPr>
        <w:pStyle w:val="Heading2"/>
      </w:pPr>
      <w:r>
        <w:t>9.2 Analytical Implication</w:t>
      </w:r>
    </w:p>
    <w:p w14:paraId="4773AA78" w14:textId="77777777" w:rsidR="00051C16" w:rsidRDefault="00000000">
      <w:r>
        <w:t>The finance implication is governance, not blanket price cutting. The strongest next step is to evaluate discounting against customer value, channel economics, product margin, contract terms, and expected lifetime contribution.</w:t>
      </w:r>
    </w:p>
    <w:p w14:paraId="3B5F9377" w14:textId="77777777" w:rsidR="00051C16" w:rsidRDefault="00000000">
      <w:pPr>
        <w:pStyle w:val="Heading2"/>
      </w:pPr>
      <w:r>
        <w:t>9.3 Workstream Conclusion</w:t>
      </w:r>
    </w:p>
    <w:tbl>
      <w:tblPr>
        <w:tblStyle w:val="TableGrid"/>
        <w:tblW w:w="0" w:type="auto"/>
        <w:jc w:val="center"/>
        <w:tblLook w:val="04A0" w:firstRow="1" w:lastRow="0" w:firstColumn="1" w:lastColumn="0" w:noHBand="0" w:noVBand="1"/>
      </w:tblPr>
      <w:tblGrid>
        <w:gridCol w:w="10166"/>
      </w:tblGrid>
      <w:tr w:rsidR="00051C16" w14:paraId="5C5EF21E" w14:textId="77777777">
        <w:trPr>
          <w:tblHeader/>
          <w:jc w:val="center"/>
        </w:trPr>
        <w:tc>
          <w:tcPr>
            <w:tcW w:w="10166" w:type="dxa"/>
            <w:shd w:val="clear" w:color="auto" w:fill="FFF7E6"/>
          </w:tcPr>
          <w:p w14:paraId="5CA90CDA" w14:textId="77777777" w:rsidR="00051C16" w:rsidRDefault="00000000">
            <w:pPr>
              <w:spacing w:after="40"/>
            </w:pPr>
            <w:r>
              <w:rPr>
                <w:b/>
                <w:color w:val="A15C00"/>
              </w:rPr>
              <w:t>WS3 conclusion</w:t>
            </w:r>
            <w:r>
              <w:rPr>
                <w:sz w:val="17"/>
              </w:rPr>
              <w:t xml:space="preserve">  Discounting is the largest quantified financial exposure, but the analysis does not support labeling the full exposure as recoverable profit. Management should improve discount governance and visibility rather than apply a universal discount reduction.</w:t>
            </w:r>
          </w:p>
        </w:tc>
      </w:tr>
    </w:tbl>
    <w:p w14:paraId="417B4A75" w14:textId="77777777" w:rsidR="00051C16" w:rsidRDefault="00051C16">
      <w:pPr>
        <w:spacing w:after="20"/>
      </w:pPr>
    </w:p>
    <w:p w14:paraId="31E43103" w14:textId="77777777" w:rsidR="00051C16" w:rsidRDefault="00000000">
      <w:pPr>
        <w:pStyle w:val="Heading1"/>
      </w:pPr>
      <w:r>
        <w:t>10. Workstream 4 - Cost Structure &amp; Cost Pressure</w:t>
      </w:r>
    </w:p>
    <w:p w14:paraId="1A391702" w14:textId="77777777" w:rsidR="00051C16" w:rsidRDefault="00000000">
      <w:pPr>
        <w:pStyle w:val="Heading2"/>
      </w:pPr>
      <w:r>
        <w:t>Objective</w:t>
      </w:r>
    </w:p>
    <w:p w14:paraId="1B34762E" w14:textId="77777777" w:rsidR="00051C16" w:rsidRDefault="00000000">
      <w:r>
        <w:t>Understand variable and fixed cost behavior and identify material differences between actual and benchmarked cost values.</w:t>
      </w:r>
    </w:p>
    <w:p w14:paraId="46A67D01" w14:textId="77777777" w:rsidR="00051C16" w:rsidRDefault="00000000">
      <w:pPr>
        <w:pStyle w:val="Heading2"/>
      </w:pPr>
      <w:r>
        <w:t>10.1 Cost Investigation</w:t>
      </w:r>
    </w:p>
    <w:tbl>
      <w:tblPr>
        <w:tblStyle w:val="TableGrid"/>
        <w:tblW w:w="0" w:type="auto"/>
        <w:jc w:val="center"/>
        <w:tblLook w:val="04A0" w:firstRow="1" w:lastRow="0" w:firstColumn="1" w:lastColumn="0" w:noHBand="0" w:noVBand="1"/>
      </w:tblPr>
      <w:tblGrid>
        <w:gridCol w:w="2880"/>
        <w:gridCol w:w="2592"/>
        <w:gridCol w:w="3960"/>
      </w:tblGrid>
      <w:tr w:rsidR="00051C16" w14:paraId="00F4AA78" w14:textId="77777777">
        <w:trPr>
          <w:tblHeader/>
          <w:jc w:val="center"/>
        </w:trPr>
        <w:tc>
          <w:tcPr>
            <w:tcW w:w="2880" w:type="dxa"/>
            <w:shd w:val="clear" w:color="auto" w:fill="1F4E6E"/>
            <w:vAlign w:val="center"/>
          </w:tcPr>
          <w:p w14:paraId="7C167556" w14:textId="77777777" w:rsidR="00051C16" w:rsidRDefault="00000000">
            <w:pPr>
              <w:jc w:val="center"/>
            </w:pPr>
            <w:r>
              <w:rPr>
                <w:b/>
                <w:color w:val="FFFFFF"/>
                <w:sz w:val="16"/>
              </w:rPr>
              <w:t>Cost finding</w:t>
            </w:r>
          </w:p>
        </w:tc>
        <w:tc>
          <w:tcPr>
            <w:tcW w:w="2592" w:type="dxa"/>
            <w:shd w:val="clear" w:color="auto" w:fill="1F4E6E"/>
            <w:vAlign w:val="center"/>
          </w:tcPr>
          <w:p w14:paraId="04A06C9E" w14:textId="77777777" w:rsidR="00051C16" w:rsidRDefault="00000000">
            <w:pPr>
              <w:jc w:val="center"/>
            </w:pPr>
            <w:r>
              <w:rPr>
                <w:b/>
                <w:color w:val="FFFFFF"/>
                <w:sz w:val="16"/>
              </w:rPr>
              <w:t>Result</w:t>
            </w:r>
          </w:p>
        </w:tc>
        <w:tc>
          <w:tcPr>
            <w:tcW w:w="3960" w:type="dxa"/>
            <w:shd w:val="clear" w:color="auto" w:fill="1F4E6E"/>
            <w:vAlign w:val="center"/>
          </w:tcPr>
          <w:p w14:paraId="19738CFE" w14:textId="77777777" w:rsidR="00051C16" w:rsidRDefault="00000000">
            <w:pPr>
              <w:jc w:val="center"/>
            </w:pPr>
            <w:r>
              <w:rPr>
                <w:b/>
                <w:color w:val="FFFFFF"/>
                <w:sz w:val="16"/>
              </w:rPr>
              <w:t>Why it matters</w:t>
            </w:r>
          </w:p>
        </w:tc>
      </w:tr>
      <w:tr w:rsidR="00051C16" w14:paraId="61E1146D" w14:textId="77777777">
        <w:trPr>
          <w:jc w:val="center"/>
        </w:trPr>
        <w:tc>
          <w:tcPr>
            <w:tcW w:w="2880" w:type="dxa"/>
            <w:vAlign w:val="center"/>
          </w:tcPr>
          <w:p w14:paraId="453C67EE" w14:textId="77777777" w:rsidR="00051C16" w:rsidRDefault="00000000">
            <w:r>
              <w:rPr>
                <w:b/>
                <w:sz w:val="15"/>
              </w:rPr>
              <w:t>P-SI-004 actual-vs-standard</w:t>
            </w:r>
          </w:p>
        </w:tc>
        <w:tc>
          <w:tcPr>
            <w:tcW w:w="2592" w:type="dxa"/>
            <w:vAlign w:val="center"/>
          </w:tcPr>
          <w:p w14:paraId="396BE0FE" w14:textId="77777777" w:rsidR="00051C16" w:rsidRDefault="00000000">
            <w:r>
              <w:rPr>
                <w:sz w:val="15"/>
              </w:rPr>
              <w:t>Part of combined ~ $49.5K overrun</w:t>
            </w:r>
          </w:p>
        </w:tc>
        <w:tc>
          <w:tcPr>
            <w:tcW w:w="3960" w:type="dxa"/>
            <w:vAlign w:val="center"/>
          </w:tcPr>
          <w:p w14:paraId="7AA332CE" w14:textId="77777777" w:rsidR="00051C16" w:rsidRDefault="00000000">
            <w:r>
              <w:rPr>
                <w:sz w:val="15"/>
              </w:rPr>
              <w:t>Directly benchmarked product-level cost pressure</w:t>
            </w:r>
          </w:p>
        </w:tc>
      </w:tr>
      <w:tr w:rsidR="00051C16" w14:paraId="1CBBE628" w14:textId="77777777">
        <w:trPr>
          <w:jc w:val="center"/>
        </w:trPr>
        <w:tc>
          <w:tcPr>
            <w:tcW w:w="2880" w:type="dxa"/>
            <w:shd w:val="clear" w:color="auto" w:fill="F5F7F9"/>
            <w:vAlign w:val="center"/>
          </w:tcPr>
          <w:p w14:paraId="12D982BA" w14:textId="77777777" w:rsidR="00051C16" w:rsidRDefault="00000000">
            <w:r>
              <w:rPr>
                <w:b/>
                <w:sz w:val="15"/>
              </w:rPr>
              <w:t>P-SI-007 actual-vs-standard</w:t>
            </w:r>
          </w:p>
        </w:tc>
        <w:tc>
          <w:tcPr>
            <w:tcW w:w="2592" w:type="dxa"/>
            <w:shd w:val="clear" w:color="auto" w:fill="F5F7F9"/>
            <w:vAlign w:val="center"/>
          </w:tcPr>
          <w:p w14:paraId="3D78C6FA" w14:textId="77777777" w:rsidR="00051C16" w:rsidRDefault="00000000">
            <w:r>
              <w:rPr>
                <w:sz w:val="15"/>
              </w:rPr>
              <w:t>Part of combined ~ $49.5K overrun</w:t>
            </w:r>
          </w:p>
        </w:tc>
        <w:tc>
          <w:tcPr>
            <w:tcW w:w="3960" w:type="dxa"/>
            <w:shd w:val="clear" w:color="auto" w:fill="F5F7F9"/>
            <w:vAlign w:val="center"/>
          </w:tcPr>
          <w:p w14:paraId="5D764181" w14:textId="77777777" w:rsidR="00051C16" w:rsidRDefault="00000000">
            <w:r>
              <w:rPr>
                <w:sz w:val="15"/>
              </w:rPr>
              <w:t>Directly benchmarked product-level cost pressure</w:t>
            </w:r>
          </w:p>
        </w:tc>
      </w:tr>
      <w:tr w:rsidR="00051C16" w14:paraId="78E9C1A5" w14:textId="77777777">
        <w:trPr>
          <w:jc w:val="center"/>
        </w:trPr>
        <w:tc>
          <w:tcPr>
            <w:tcW w:w="2880" w:type="dxa"/>
            <w:vAlign w:val="center"/>
          </w:tcPr>
          <w:p w14:paraId="6F793C68" w14:textId="77777777" w:rsidR="00051C16" w:rsidRDefault="00000000">
            <w:r>
              <w:rPr>
                <w:b/>
                <w:sz w:val="15"/>
              </w:rPr>
              <w:t>Combined product overrun</w:t>
            </w:r>
          </w:p>
        </w:tc>
        <w:tc>
          <w:tcPr>
            <w:tcW w:w="2592" w:type="dxa"/>
            <w:vAlign w:val="center"/>
          </w:tcPr>
          <w:p w14:paraId="190F649C" w14:textId="77777777" w:rsidR="00051C16" w:rsidRDefault="00000000">
            <w:r>
              <w:rPr>
                <w:sz w:val="15"/>
              </w:rPr>
              <w:t>~$49.5K</w:t>
            </w:r>
          </w:p>
        </w:tc>
        <w:tc>
          <w:tcPr>
            <w:tcW w:w="3960" w:type="dxa"/>
            <w:vAlign w:val="center"/>
          </w:tcPr>
          <w:p w14:paraId="7E936DD7" w14:textId="77777777" w:rsidR="00051C16" w:rsidRDefault="00000000">
            <w:r>
              <w:rPr>
                <w:sz w:val="15"/>
              </w:rPr>
              <w:t>Strongest directly benchmarked improvement opportunity</w:t>
            </w:r>
          </w:p>
        </w:tc>
      </w:tr>
      <w:tr w:rsidR="00051C16" w14:paraId="2F5E2F5F" w14:textId="77777777">
        <w:trPr>
          <w:jc w:val="center"/>
        </w:trPr>
        <w:tc>
          <w:tcPr>
            <w:tcW w:w="2880" w:type="dxa"/>
            <w:shd w:val="clear" w:color="auto" w:fill="F5F7F9"/>
            <w:vAlign w:val="center"/>
          </w:tcPr>
          <w:p w14:paraId="3AB6D08D" w14:textId="77777777" w:rsidR="00051C16" w:rsidRDefault="00000000">
            <w:r>
              <w:rPr>
                <w:b/>
                <w:sz w:val="15"/>
              </w:rPr>
              <w:t>Missing product-month cost observations</w:t>
            </w:r>
          </w:p>
        </w:tc>
        <w:tc>
          <w:tcPr>
            <w:tcW w:w="2592" w:type="dxa"/>
            <w:shd w:val="clear" w:color="auto" w:fill="F5F7F9"/>
            <w:vAlign w:val="center"/>
          </w:tcPr>
          <w:p w14:paraId="126B8392" w14:textId="77777777" w:rsidR="00051C16" w:rsidRDefault="00000000">
            <w:r>
              <w:rPr>
                <w:sz w:val="15"/>
              </w:rPr>
              <w:t>3 observations imputed and flagged</w:t>
            </w:r>
          </w:p>
        </w:tc>
        <w:tc>
          <w:tcPr>
            <w:tcW w:w="3960" w:type="dxa"/>
            <w:shd w:val="clear" w:color="auto" w:fill="F5F7F9"/>
            <w:vAlign w:val="center"/>
          </w:tcPr>
          <w:p w14:paraId="41A3436B" w14:textId="77777777" w:rsidR="00051C16" w:rsidRDefault="00000000">
            <w:r>
              <w:rPr>
                <w:sz w:val="15"/>
              </w:rPr>
              <w:t>Supports coverage but adds uncertainty</w:t>
            </w:r>
          </w:p>
        </w:tc>
      </w:tr>
      <w:tr w:rsidR="00051C16" w14:paraId="44858D5D" w14:textId="77777777">
        <w:trPr>
          <w:jc w:val="center"/>
        </w:trPr>
        <w:tc>
          <w:tcPr>
            <w:tcW w:w="2880" w:type="dxa"/>
            <w:vAlign w:val="center"/>
          </w:tcPr>
          <w:p w14:paraId="4B4C1EA3" w14:textId="77777777" w:rsidR="00051C16" w:rsidRDefault="00000000">
            <w:r>
              <w:rPr>
                <w:b/>
                <w:sz w:val="15"/>
              </w:rPr>
              <w:t>P-SI-008 StdVarCost master gap</w:t>
            </w:r>
          </w:p>
        </w:tc>
        <w:tc>
          <w:tcPr>
            <w:tcW w:w="2592" w:type="dxa"/>
            <w:vAlign w:val="center"/>
          </w:tcPr>
          <w:p w14:paraId="424025DC" w14:textId="77777777" w:rsidR="00051C16" w:rsidRDefault="00000000">
            <w:r>
              <w:rPr>
                <w:sz w:val="15"/>
              </w:rPr>
              <w:t>$385 supported from H1 variable-standard-cost evidence</w:t>
            </w:r>
          </w:p>
        </w:tc>
        <w:tc>
          <w:tcPr>
            <w:tcW w:w="3960" w:type="dxa"/>
            <w:vAlign w:val="center"/>
          </w:tcPr>
          <w:p w14:paraId="31F9502D" w14:textId="77777777" w:rsidR="00051C16" w:rsidRDefault="00000000">
            <w:r>
              <w:rPr>
                <w:sz w:val="15"/>
              </w:rPr>
              <w:t>Improves master-data completeness with an evidence-based value</w:t>
            </w:r>
          </w:p>
        </w:tc>
      </w:tr>
    </w:tbl>
    <w:p w14:paraId="528CF968" w14:textId="77777777" w:rsidR="00051C16" w:rsidRDefault="00051C16">
      <w:pPr>
        <w:spacing w:after="20"/>
      </w:pPr>
    </w:p>
    <w:p w14:paraId="0548F5B5" w14:textId="77777777" w:rsidR="00051C16" w:rsidRDefault="00000000">
      <w:pPr>
        <w:pStyle w:val="Heading2"/>
      </w:pPr>
      <w:r>
        <w:t>10.2 Interpretation</w:t>
      </w:r>
    </w:p>
    <w:p w14:paraId="5B06DBF2" w14:textId="77777777" w:rsidR="00051C16" w:rsidRDefault="00000000">
      <w:r>
        <w:t>The P-SI-004 and P-SI-007 overrun is more decision-ready than the discount exposure because it is supported by an explicit actual-vs-standard benchmark. The key question for management is why actual cost is above standard: component costs, labor, sourcing, production efficiency, or outdated standard-cost assumptions.</w:t>
      </w:r>
    </w:p>
    <w:p w14:paraId="3130BFC9" w14:textId="77777777" w:rsidR="00051C16" w:rsidRDefault="00000000">
      <w:pPr>
        <w:pStyle w:val="Heading2"/>
      </w:pPr>
      <w:r>
        <w:lastRenderedPageBreak/>
        <w:t>10.3 Workstream Conclusion</w:t>
      </w:r>
    </w:p>
    <w:tbl>
      <w:tblPr>
        <w:tblStyle w:val="TableGrid"/>
        <w:tblW w:w="0" w:type="auto"/>
        <w:jc w:val="center"/>
        <w:tblLook w:val="04A0" w:firstRow="1" w:lastRow="0" w:firstColumn="1" w:lastColumn="0" w:noHBand="0" w:noVBand="1"/>
      </w:tblPr>
      <w:tblGrid>
        <w:gridCol w:w="10166"/>
      </w:tblGrid>
      <w:tr w:rsidR="00051C16" w14:paraId="7772BDA2" w14:textId="77777777">
        <w:trPr>
          <w:tblHeader/>
          <w:jc w:val="center"/>
        </w:trPr>
        <w:tc>
          <w:tcPr>
            <w:tcW w:w="10166" w:type="dxa"/>
            <w:shd w:val="clear" w:color="auto" w:fill="EAF2F8"/>
          </w:tcPr>
          <w:p w14:paraId="363A58F0" w14:textId="77777777" w:rsidR="00051C16" w:rsidRDefault="00000000">
            <w:pPr>
              <w:spacing w:after="40"/>
            </w:pPr>
            <w:r>
              <w:rPr>
                <w:b/>
                <w:color w:val="1F4E6E"/>
              </w:rPr>
              <w:t>WS4 conclusion</w:t>
            </w:r>
            <w:r>
              <w:rPr>
                <w:sz w:val="17"/>
              </w:rPr>
              <w:t xml:space="preserve">  Product-level cost overruns provide the clearest directly benchmarked cost-improvement opportunity, with ~ $49.5K concentrated across P-SI-004 and P-SI-007. These products should be investigated before standards or operating actions are changed.</w:t>
            </w:r>
          </w:p>
        </w:tc>
      </w:tr>
    </w:tbl>
    <w:p w14:paraId="07E1F6E0" w14:textId="77777777" w:rsidR="00051C16" w:rsidRDefault="00051C16">
      <w:pPr>
        <w:spacing w:after="20"/>
      </w:pPr>
    </w:p>
    <w:p w14:paraId="02C8AF25" w14:textId="77777777" w:rsidR="00051C16" w:rsidRDefault="00000000">
      <w:pPr>
        <w:pStyle w:val="Heading1"/>
      </w:pPr>
      <w:r>
        <w:t>11. Workstream 5 - Profitability &amp; Margin Analysis</w:t>
      </w:r>
    </w:p>
    <w:p w14:paraId="67F3C1A8" w14:textId="77777777" w:rsidR="00051C16" w:rsidRDefault="00000000">
      <w:pPr>
        <w:pStyle w:val="Heading2"/>
      </w:pPr>
      <w:r>
        <w:t>Objective</w:t>
      </w:r>
    </w:p>
    <w:p w14:paraId="0D59321D" w14:textId="77777777" w:rsidR="00051C16" w:rsidRDefault="00000000">
      <w:r>
        <w:t>Compare contribution economics across business units and products to distinguish high-revenue activities from genuinely attractive economics.</w:t>
      </w:r>
    </w:p>
    <w:p w14:paraId="31E4321E" w14:textId="77777777" w:rsidR="00051C16" w:rsidRDefault="00000000">
      <w:pPr>
        <w:pStyle w:val="Heading2"/>
      </w:pPr>
      <w:r>
        <w:t>11.1 Contribution Margin Findings</w:t>
      </w:r>
    </w:p>
    <w:tbl>
      <w:tblPr>
        <w:tblStyle w:val="TableGrid"/>
        <w:tblW w:w="0" w:type="auto"/>
        <w:jc w:val="center"/>
        <w:tblLook w:val="04A0" w:firstRow="1" w:lastRow="0" w:firstColumn="1" w:lastColumn="0" w:noHBand="0" w:noVBand="1"/>
      </w:tblPr>
      <w:tblGrid>
        <w:gridCol w:w="2880"/>
        <w:gridCol w:w="2592"/>
        <w:gridCol w:w="4032"/>
      </w:tblGrid>
      <w:tr w:rsidR="00051C16" w14:paraId="5E93DCF5" w14:textId="77777777">
        <w:trPr>
          <w:tblHeader/>
          <w:jc w:val="center"/>
        </w:trPr>
        <w:tc>
          <w:tcPr>
            <w:tcW w:w="2880" w:type="dxa"/>
            <w:shd w:val="clear" w:color="auto" w:fill="1F4E6E"/>
            <w:vAlign w:val="center"/>
          </w:tcPr>
          <w:p w14:paraId="1A63697D" w14:textId="77777777" w:rsidR="00051C16" w:rsidRDefault="00000000">
            <w:pPr>
              <w:jc w:val="center"/>
            </w:pPr>
            <w:r>
              <w:rPr>
                <w:b/>
                <w:color w:val="FFFFFF"/>
                <w:sz w:val="16"/>
              </w:rPr>
              <w:t>Business Unit</w:t>
            </w:r>
          </w:p>
        </w:tc>
        <w:tc>
          <w:tcPr>
            <w:tcW w:w="2592" w:type="dxa"/>
            <w:shd w:val="clear" w:color="auto" w:fill="1F4E6E"/>
            <w:vAlign w:val="center"/>
          </w:tcPr>
          <w:p w14:paraId="72D2A9E9" w14:textId="77777777" w:rsidR="00051C16" w:rsidRDefault="00000000">
            <w:pPr>
              <w:jc w:val="center"/>
            </w:pPr>
            <w:r>
              <w:rPr>
                <w:b/>
                <w:color w:val="FFFFFF"/>
                <w:sz w:val="16"/>
              </w:rPr>
              <w:t>Contribution Margin</w:t>
            </w:r>
          </w:p>
        </w:tc>
        <w:tc>
          <w:tcPr>
            <w:tcW w:w="4032" w:type="dxa"/>
            <w:shd w:val="clear" w:color="auto" w:fill="1F4E6E"/>
            <w:vAlign w:val="center"/>
          </w:tcPr>
          <w:p w14:paraId="16CD571E" w14:textId="77777777" w:rsidR="00051C16" w:rsidRDefault="00000000">
            <w:pPr>
              <w:jc w:val="center"/>
            </w:pPr>
            <w:r>
              <w:rPr>
                <w:b/>
                <w:color w:val="FFFFFF"/>
                <w:sz w:val="16"/>
              </w:rPr>
              <w:t>Interpretation</w:t>
            </w:r>
          </w:p>
        </w:tc>
      </w:tr>
      <w:tr w:rsidR="00051C16" w14:paraId="0D4F96D4" w14:textId="77777777">
        <w:trPr>
          <w:jc w:val="center"/>
        </w:trPr>
        <w:tc>
          <w:tcPr>
            <w:tcW w:w="2880" w:type="dxa"/>
            <w:vAlign w:val="center"/>
          </w:tcPr>
          <w:p w14:paraId="699092A5" w14:textId="77777777" w:rsidR="00051C16" w:rsidRDefault="00000000">
            <w:r>
              <w:rPr>
                <w:b/>
                <w:sz w:val="15"/>
              </w:rPr>
              <w:t>Software &amp; Analytics</w:t>
            </w:r>
          </w:p>
        </w:tc>
        <w:tc>
          <w:tcPr>
            <w:tcW w:w="2592" w:type="dxa"/>
            <w:vAlign w:val="center"/>
          </w:tcPr>
          <w:p w14:paraId="6A56B681" w14:textId="77777777" w:rsidR="00051C16" w:rsidRDefault="00000000">
            <w:r>
              <w:rPr>
                <w:sz w:val="15"/>
              </w:rPr>
              <w:t>~95.08%</w:t>
            </w:r>
          </w:p>
        </w:tc>
        <w:tc>
          <w:tcPr>
            <w:tcW w:w="4032" w:type="dxa"/>
            <w:vAlign w:val="center"/>
          </w:tcPr>
          <w:p w14:paraId="1BA468A7" w14:textId="77777777" w:rsidR="00051C16" w:rsidRDefault="00000000">
            <w:r>
              <w:rPr>
                <w:sz w:val="15"/>
              </w:rPr>
              <w:t>Strongest contribution economics; high-margin value-creation area</w:t>
            </w:r>
          </w:p>
        </w:tc>
      </w:tr>
      <w:tr w:rsidR="00051C16" w14:paraId="7022A3BF" w14:textId="77777777">
        <w:trPr>
          <w:jc w:val="center"/>
        </w:trPr>
        <w:tc>
          <w:tcPr>
            <w:tcW w:w="2880" w:type="dxa"/>
            <w:shd w:val="clear" w:color="auto" w:fill="F5F7F9"/>
            <w:vAlign w:val="center"/>
          </w:tcPr>
          <w:p w14:paraId="4159F36B" w14:textId="77777777" w:rsidR="00051C16" w:rsidRDefault="00000000">
            <w:r>
              <w:rPr>
                <w:b/>
                <w:sz w:val="15"/>
              </w:rPr>
              <w:t>Field Services</w:t>
            </w:r>
          </w:p>
        </w:tc>
        <w:tc>
          <w:tcPr>
            <w:tcW w:w="2592" w:type="dxa"/>
            <w:shd w:val="clear" w:color="auto" w:fill="F5F7F9"/>
            <w:vAlign w:val="center"/>
          </w:tcPr>
          <w:p w14:paraId="32DC36C0" w14:textId="77777777" w:rsidR="00051C16" w:rsidRDefault="00000000">
            <w:r>
              <w:rPr>
                <w:sz w:val="15"/>
              </w:rPr>
              <w:t>~37.97%</w:t>
            </w:r>
          </w:p>
        </w:tc>
        <w:tc>
          <w:tcPr>
            <w:tcW w:w="4032" w:type="dxa"/>
            <w:shd w:val="clear" w:color="auto" w:fill="F5F7F9"/>
            <w:vAlign w:val="center"/>
          </w:tcPr>
          <w:p w14:paraId="452D2649" w14:textId="77777777" w:rsidR="00051C16" w:rsidRDefault="00000000">
            <w:r>
              <w:rPr>
                <w:sz w:val="15"/>
              </w:rPr>
              <w:t>Lower contribution economics; labor and pricing/utilization require attention</w:t>
            </w:r>
          </w:p>
        </w:tc>
      </w:tr>
    </w:tbl>
    <w:p w14:paraId="7BF0BF6F" w14:textId="77777777" w:rsidR="00051C16" w:rsidRDefault="00051C16">
      <w:pPr>
        <w:spacing w:after="20"/>
      </w:pPr>
    </w:p>
    <w:p w14:paraId="5DECF8A3" w14:textId="77777777" w:rsidR="00051C16" w:rsidRDefault="00000000">
      <w:pPr>
        <w:pStyle w:val="Heading2"/>
      </w:pPr>
      <w:r>
        <w:t>11.2 Product and Mix Logic</w:t>
      </w:r>
    </w:p>
    <w:p w14:paraId="670B7408" w14:textId="77777777" w:rsidR="00051C16" w:rsidRDefault="00000000">
      <w:r>
        <w:t>The analysis reinforces a central FP&amp;A principle: high revenue does not equal high profit. The combination of discounting, variable costs, and business-unit mix can create materially different contribution outcomes even when revenue performance appears strong.</w:t>
      </w:r>
    </w:p>
    <w:p w14:paraId="3D6F498C" w14:textId="77777777" w:rsidR="00051C16" w:rsidRDefault="00000000">
      <w:pPr>
        <w:pStyle w:val="Heading2"/>
      </w:pPr>
      <w:r>
        <w:t>11.3 Field Services Opportunity</w:t>
      </w:r>
    </w:p>
    <w:p w14:paraId="71655640" w14:textId="77777777" w:rsidR="00051C16" w:rsidRDefault="00000000">
      <w:r>
        <w:t>An illustrative contribution-margin benchmark suggested a potential improvement opportunity of approximately $44K. This figure is directional and should not be represented as a confirmed loss or as value already available to capture.</w:t>
      </w:r>
    </w:p>
    <w:p w14:paraId="57AABFA6" w14:textId="77777777" w:rsidR="00051C16" w:rsidRDefault="00000000">
      <w:pPr>
        <w:pStyle w:val="Heading2"/>
      </w:pPr>
      <w:r>
        <w:t>11.4 Workstream Conclusion</w:t>
      </w:r>
    </w:p>
    <w:tbl>
      <w:tblPr>
        <w:tblStyle w:val="TableGrid"/>
        <w:tblW w:w="0" w:type="auto"/>
        <w:jc w:val="center"/>
        <w:tblLook w:val="04A0" w:firstRow="1" w:lastRow="0" w:firstColumn="1" w:lastColumn="0" w:noHBand="0" w:noVBand="1"/>
      </w:tblPr>
      <w:tblGrid>
        <w:gridCol w:w="10166"/>
      </w:tblGrid>
      <w:tr w:rsidR="00051C16" w14:paraId="760E6AC4" w14:textId="77777777">
        <w:trPr>
          <w:tblHeader/>
          <w:jc w:val="center"/>
        </w:trPr>
        <w:tc>
          <w:tcPr>
            <w:tcW w:w="10166" w:type="dxa"/>
            <w:shd w:val="clear" w:color="auto" w:fill="EAF2F8"/>
          </w:tcPr>
          <w:p w14:paraId="4C871A72" w14:textId="77777777" w:rsidR="00051C16" w:rsidRDefault="00000000">
            <w:pPr>
              <w:spacing w:after="40"/>
            </w:pPr>
            <w:r>
              <w:rPr>
                <w:b/>
                <w:color w:val="1F4E6E"/>
              </w:rPr>
              <w:t>WS5 conclusion</w:t>
            </w:r>
            <w:r>
              <w:rPr>
                <w:sz w:val="17"/>
              </w:rPr>
              <w:t xml:space="preserve">  Software &amp; Analytics is the clearest high-margin value-creation area, while Field Services has the clearest lower-margin economics requiring management review. The mix of these activities matters as much as the headline revenue level.</w:t>
            </w:r>
          </w:p>
        </w:tc>
      </w:tr>
    </w:tbl>
    <w:p w14:paraId="2222DBDD" w14:textId="77777777" w:rsidR="00051C16" w:rsidRDefault="00051C16">
      <w:pPr>
        <w:spacing w:after="20"/>
      </w:pPr>
    </w:p>
    <w:p w14:paraId="2E596E19" w14:textId="77777777" w:rsidR="00051C16" w:rsidRDefault="00000000">
      <w:pPr>
        <w:pStyle w:val="Heading1"/>
      </w:pPr>
      <w:r>
        <w:t>12. Workstream 6 - Budget Variance Analysis</w:t>
      </w:r>
    </w:p>
    <w:p w14:paraId="37E1937E" w14:textId="77777777" w:rsidR="00051C16" w:rsidRDefault="00000000">
      <w:pPr>
        <w:pStyle w:val="Heading2"/>
      </w:pPr>
      <w:r>
        <w:t>Objective</w:t>
      </w:r>
    </w:p>
    <w:p w14:paraId="63E41D84" w14:textId="77777777" w:rsidR="00051C16" w:rsidRDefault="00000000">
      <w:r>
        <w:t>Compare actual revenue, costs, and profit against the Board-approved H1 2025 Budget at the Business Unit × Region × Month level, and isolate material favorable and unfavorable variances.</w:t>
      </w:r>
    </w:p>
    <w:p w14:paraId="414D3B80" w14:textId="77777777" w:rsidR="00051C16" w:rsidRDefault="00000000">
      <w:pPr>
        <w:pStyle w:val="Heading2"/>
      </w:pPr>
      <w:r>
        <w:t>12.1 Method</w:t>
      </w:r>
    </w:p>
    <w:p w14:paraId="4AF08294" w14:textId="77777777" w:rsidR="00051C16" w:rsidRDefault="00000000">
      <w:r>
        <w:t>The budget analysis was structured around the approved budget grain and compared actual performance against plan. The analysis was used as a diagnostic input rather than automatically assuming that every variance represented an operating problem.</w:t>
      </w:r>
    </w:p>
    <w:p w14:paraId="07CE42E2" w14:textId="77777777" w:rsidR="00051C16" w:rsidRDefault="00000000">
      <w:pPr>
        <w:pStyle w:val="Heading2"/>
      </w:pPr>
      <w:r>
        <w:t>12.2 Key Limitation</w:t>
      </w:r>
    </w:p>
    <w:tbl>
      <w:tblPr>
        <w:tblStyle w:val="TableGrid"/>
        <w:tblW w:w="0" w:type="auto"/>
        <w:jc w:val="center"/>
        <w:tblLook w:val="04A0" w:firstRow="1" w:lastRow="0" w:firstColumn="1" w:lastColumn="0" w:noHBand="0" w:noVBand="1"/>
      </w:tblPr>
      <w:tblGrid>
        <w:gridCol w:w="10166"/>
      </w:tblGrid>
      <w:tr w:rsidR="00051C16" w14:paraId="098786B8" w14:textId="77777777">
        <w:trPr>
          <w:tblHeader/>
          <w:jc w:val="center"/>
        </w:trPr>
        <w:tc>
          <w:tcPr>
            <w:tcW w:w="10166" w:type="dxa"/>
            <w:shd w:val="clear" w:color="auto" w:fill="FFF2F2"/>
          </w:tcPr>
          <w:p w14:paraId="0EE886C9" w14:textId="77777777" w:rsidR="00051C16" w:rsidRDefault="00000000">
            <w:pPr>
              <w:spacing w:after="40"/>
            </w:pPr>
            <w:r>
              <w:rPr>
                <w:b/>
                <w:color w:val="A61B1B"/>
              </w:rPr>
              <w:t>Budget comparability limitation</w:t>
            </w:r>
            <w:r>
              <w:rPr>
                <w:sz w:val="17"/>
              </w:rPr>
              <w:t xml:space="preserve">  Data-quality and comparability issues reduced the reliability of some actual-vs-budget conclusions. Budget variance findings were therefore separated from the primary profitability diagnosis and require validation before formal performance assessment.</w:t>
            </w:r>
          </w:p>
        </w:tc>
      </w:tr>
    </w:tbl>
    <w:p w14:paraId="2F47EF13" w14:textId="77777777" w:rsidR="00051C16" w:rsidRDefault="00051C16">
      <w:pPr>
        <w:spacing w:after="20"/>
      </w:pPr>
    </w:p>
    <w:p w14:paraId="75AB8883" w14:textId="77777777" w:rsidR="00051C16" w:rsidRDefault="00000000">
      <w:pPr>
        <w:pStyle w:val="Heading2"/>
      </w:pPr>
      <w:r>
        <w:t>12.3 Workstream Conclusion</w:t>
      </w:r>
    </w:p>
    <w:tbl>
      <w:tblPr>
        <w:tblStyle w:val="TableGrid"/>
        <w:tblW w:w="0" w:type="auto"/>
        <w:jc w:val="center"/>
        <w:tblLook w:val="04A0" w:firstRow="1" w:lastRow="0" w:firstColumn="1" w:lastColumn="0" w:noHBand="0" w:noVBand="1"/>
      </w:tblPr>
      <w:tblGrid>
        <w:gridCol w:w="10166"/>
      </w:tblGrid>
      <w:tr w:rsidR="00051C16" w14:paraId="4A2D2315" w14:textId="77777777">
        <w:trPr>
          <w:tblHeader/>
          <w:jc w:val="center"/>
        </w:trPr>
        <w:tc>
          <w:tcPr>
            <w:tcW w:w="10166" w:type="dxa"/>
            <w:shd w:val="clear" w:color="auto" w:fill="F5F7F9"/>
          </w:tcPr>
          <w:p w14:paraId="50A0F6E9" w14:textId="77777777" w:rsidR="00051C16" w:rsidRDefault="00000000">
            <w:pPr>
              <w:spacing w:after="40"/>
            </w:pPr>
            <w:r>
              <w:rPr>
                <w:b/>
                <w:color w:val="1F4E6E"/>
              </w:rPr>
              <w:t>WS6 conclusion</w:t>
            </w:r>
            <w:r>
              <w:rPr>
                <w:sz w:val="17"/>
              </w:rPr>
              <w:t xml:space="preserve">  Budget variance analysis was completed, but it does not provide sufficiently robust evidence to serve as the primary explanation of the profitability gap. It should be treated as a validation and follow-up workstream rather than a confirmed root cause.</w:t>
            </w:r>
          </w:p>
        </w:tc>
      </w:tr>
    </w:tbl>
    <w:p w14:paraId="40A7BFAF" w14:textId="77777777" w:rsidR="00051C16" w:rsidRDefault="00051C16">
      <w:pPr>
        <w:spacing w:after="20"/>
      </w:pPr>
    </w:p>
    <w:p w14:paraId="7E717B5B" w14:textId="77777777" w:rsidR="00051C16" w:rsidRDefault="00000000">
      <w:pPr>
        <w:pStyle w:val="Heading1"/>
      </w:pPr>
      <w:r>
        <w:t>13. Workstream 7 - Driver Investigation &amp; Anomaly Review</w:t>
      </w:r>
    </w:p>
    <w:p w14:paraId="629649A4" w14:textId="77777777" w:rsidR="00051C16" w:rsidRDefault="00000000">
      <w:pPr>
        <w:pStyle w:val="Heading2"/>
      </w:pPr>
      <w:r>
        <w:t>Objective</w:t>
      </w:r>
    </w:p>
    <w:p w14:paraId="3A9414E3" w14:textId="77777777" w:rsidR="00051C16" w:rsidRDefault="00000000">
      <w:r>
        <w:t>Investigate the underlying drivers of material gaps and unusual results, distinguishing business performance from data artifacts and legitimate exceptions.</w:t>
      </w:r>
    </w:p>
    <w:p w14:paraId="5DF2090D" w14:textId="77777777" w:rsidR="00051C16" w:rsidRDefault="00000000">
      <w:pPr>
        <w:pStyle w:val="Heading2"/>
      </w:pPr>
      <w:r>
        <w:t>13.1 Driver Themes Identified</w:t>
      </w:r>
    </w:p>
    <w:tbl>
      <w:tblPr>
        <w:tblStyle w:val="TableGrid"/>
        <w:tblW w:w="0" w:type="auto"/>
        <w:jc w:val="center"/>
        <w:tblLook w:val="04A0" w:firstRow="1" w:lastRow="0" w:firstColumn="1" w:lastColumn="0" w:noHBand="0" w:noVBand="1"/>
      </w:tblPr>
      <w:tblGrid>
        <w:gridCol w:w="2232"/>
        <w:gridCol w:w="4608"/>
        <w:gridCol w:w="2376"/>
      </w:tblGrid>
      <w:tr w:rsidR="00051C16" w14:paraId="45D42F07" w14:textId="77777777">
        <w:trPr>
          <w:tblHeader/>
          <w:jc w:val="center"/>
        </w:trPr>
        <w:tc>
          <w:tcPr>
            <w:tcW w:w="2232" w:type="dxa"/>
            <w:shd w:val="clear" w:color="auto" w:fill="1F4E6E"/>
            <w:vAlign w:val="center"/>
          </w:tcPr>
          <w:p w14:paraId="29522798" w14:textId="77777777" w:rsidR="00051C16" w:rsidRDefault="00000000">
            <w:pPr>
              <w:jc w:val="center"/>
            </w:pPr>
            <w:r>
              <w:rPr>
                <w:b/>
                <w:color w:val="FFFFFF"/>
                <w:sz w:val="16"/>
              </w:rPr>
              <w:t>Driver theme</w:t>
            </w:r>
          </w:p>
        </w:tc>
        <w:tc>
          <w:tcPr>
            <w:tcW w:w="4608" w:type="dxa"/>
            <w:shd w:val="clear" w:color="auto" w:fill="1F4E6E"/>
            <w:vAlign w:val="center"/>
          </w:tcPr>
          <w:p w14:paraId="4FC5ACF6" w14:textId="77777777" w:rsidR="00051C16" w:rsidRDefault="00000000">
            <w:pPr>
              <w:jc w:val="center"/>
            </w:pPr>
            <w:r>
              <w:rPr>
                <w:b/>
                <w:color w:val="FFFFFF"/>
                <w:sz w:val="16"/>
              </w:rPr>
              <w:t>Evidence / observation</w:t>
            </w:r>
          </w:p>
        </w:tc>
        <w:tc>
          <w:tcPr>
            <w:tcW w:w="2376" w:type="dxa"/>
            <w:shd w:val="clear" w:color="auto" w:fill="1F4E6E"/>
            <w:vAlign w:val="center"/>
          </w:tcPr>
          <w:p w14:paraId="6D8942CA" w14:textId="77777777" w:rsidR="00051C16" w:rsidRDefault="00000000">
            <w:pPr>
              <w:jc w:val="center"/>
            </w:pPr>
            <w:r>
              <w:rPr>
                <w:b/>
                <w:color w:val="FFFFFF"/>
                <w:sz w:val="16"/>
              </w:rPr>
              <w:t>Implication</w:t>
            </w:r>
          </w:p>
        </w:tc>
      </w:tr>
      <w:tr w:rsidR="00051C16" w14:paraId="23B605C2" w14:textId="77777777">
        <w:trPr>
          <w:jc w:val="center"/>
        </w:trPr>
        <w:tc>
          <w:tcPr>
            <w:tcW w:w="2232" w:type="dxa"/>
            <w:vAlign w:val="center"/>
          </w:tcPr>
          <w:p w14:paraId="781CEBE4" w14:textId="77777777" w:rsidR="00051C16" w:rsidRDefault="00000000">
            <w:r>
              <w:rPr>
                <w:b/>
                <w:sz w:val="15"/>
              </w:rPr>
              <w:t>Discount erosion</w:t>
            </w:r>
          </w:p>
        </w:tc>
        <w:tc>
          <w:tcPr>
            <w:tcW w:w="4608" w:type="dxa"/>
            <w:vAlign w:val="center"/>
          </w:tcPr>
          <w:p w14:paraId="08928D8E" w14:textId="77777777" w:rsidR="00051C16" w:rsidRDefault="00000000">
            <w:r>
              <w:rPr>
                <w:sz w:val="15"/>
              </w:rPr>
              <w:t>14.66% overall discount rate; ~ $510.8K Distributor + Strategic exposure</w:t>
            </w:r>
          </w:p>
        </w:tc>
        <w:tc>
          <w:tcPr>
            <w:tcW w:w="2376" w:type="dxa"/>
            <w:vAlign w:val="center"/>
          </w:tcPr>
          <w:p w14:paraId="794D40A5" w14:textId="77777777" w:rsidR="00051C16" w:rsidRDefault="00000000">
            <w:r>
              <w:rPr>
                <w:sz w:val="15"/>
              </w:rPr>
              <w:t>Revenue realization requires governance and commercial review</w:t>
            </w:r>
          </w:p>
        </w:tc>
      </w:tr>
      <w:tr w:rsidR="00051C16" w14:paraId="58A57081" w14:textId="77777777">
        <w:trPr>
          <w:jc w:val="center"/>
        </w:trPr>
        <w:tc>
          <w:tcPr>
            <w:tcW w:w="2232" w:type="dxa"/>
            <w:shd w:val="clear" w:color="auto" w:fill="F5F7F9"/>
            <w:vAlign w:val="center"/>
          </w:tcPr>
          <w:p w14:paraId="1907BB38" w14:textId="77777777" w:rsidR="00051C16" w:rsidRDefault="00000000">
            <w:r>
              <w:rPr>
                <w:b/>
                <w:sz w:val="15"/>
              </w:rPr>
              <w:t>Product cost pressure</w:t>
            </w:r>
          </w:p>
        </w:tc>
        <w:tc>
          <w:tcPr>
            <w:tcW w:w="4608" w:type="dxa"/>
            <w:shd w:val="clear" w:color="auto" w:fill="F5F7F9"/>
            <w:vAlign w:val="center"/>
          </w:tcPr>
          <w:p w14:paraId="58A621B8" w14:textId="77777777" w:rsidR="00051C16" w:rsidRDefault="00000000">
            <w:r>
              <w:rPr>
                <w:sz w:val="15"/>
              </w:rPr>
              <w:t>~ $49.5K actual-vs-standard overrun on P-SI-004 + P-SI-007</w:t>
            </w:r>
          </w:p>
        </w:tc>
        <w:tc>
          <w:tcPr>
            <w:tcW w:w="2376" w:type="dxa"/>
            <w:shd w:val="clear" w:color="auto" w:fill="F5F7F9"/>
            <w:vAlign w:val="center"/>
          </w:tcPr>
          <w:p w14:paraId="78686988" w14:textId="77777777" w:rsidR="00051C16" w:rsidRDefault="00000000">
            <w:r>
              <w:rPr>
                <w:sz w:val="15"/>
              </w:rPr>
              <w:t>Direct cost-control opportunity</w:t>
            </w:r>
          </w:p>
        </w:tc>
      </w:tr>
      <w:tr w:rsidR="00051C16" w14:paraId="36C7CA34" w14:textId="77777777">
        <w:trPr>
          <w:jc w:val="center"/>
        </w:trPr>
        <w:tc>
          <w:tcPr>
            <w:tcW w:w="2232" w:type="dxa"/>
            <w:vAlign w:val="center"/>
          </w:tcPr>
          <w:p w14:paraId="5DD9E67E" w14:textId="77777777" w:rsidR="00051C16" w:rsidRDefault="00000000">
            <w:r>
              <w:rPr>
                <w:b/>
                <w:sz w:val="15"/>
              </w:rPr>
              <w:t>Business-unit economics</w:t>
            </w:r>
          </w:p>
        </w:tc>
        <w:tc>
          <w:tcPr>
            <w:tcW w:w="4608" w:type="dxa"/>
            <w:vAlign w:val="center"/>
          </w:tcPr>
          <w:p w14:paraId="0B6C639E" w14:textId="77777777" w:rsidR="00051C16" w:rsidRDefault="00000000">
            <w:r>
              <w:rPr>
                <w:sz w:val="15"/>
              </w:rPr>
              <w:t>Software &amp; Analytics ~95.08% vs Field Services ~37.97% contribution margin</w:t>
            </w:r>
          </w:p>
        </w:tc>
        <w:tc>
          <w:tcPr>
            <w:tcW w:w="2376" w:type="dxa"/>
            <w:vAlign w:val="center"/>
          </w:tcPr>
          <w:p w14:paraId="583650D4" w14:textId="77777777" w:rsidR="00051C16" w:rsidRDefault="00000000">
            <w:r>
              <w:rPr>
                <w:sz w:val="15"/>
              </w:rPr>
              <w:t>Mix and economics influence value of growth</w:t>
            </w:r>
          </w:p>
        </w:tc>
      </w:tr>
      <w:tr w:rsidR="00051C16" w14:paraId="74E73E2C" w14:textId="77777777">
        <w:trPr>
          <w:jc w:val="center"/>
        </w:trPr>
        <w:tc>
          <w:tcPr>
            <w:tcW w:w="2232" w:type="dxa"/>
            <w:shd w:val="clear" w:color="auto" w:fill="F5F7F9"/>
            <w:vAlign w:val="center"/>
          </w:tcPr>
          <w:p w14:paraId="29A50A07" w14:textId="77777777" w:rsidR="00051C16" w:rsidRDefault="00000000">
            <w:r>
              <w:rPr>
                <w:b/>
                <w:sz w:val="15"/>
              </w:rPr>
              <w:t>Revenue concentration</w:t>
            </w:r>
          </w:p>
        </w:tc>
        <w:tc>
          <w:tcPr>
            <w:tcW w:w="4608" w:type="dxa"/>
            <w:shd w:val="clear" w:color="auto" w:fill="F5F7F9"/>
            <w:vAlign w:val="center"/>
          </w:tcPr>
          <w:p w14:paraId="3B7E7FEA" w14:textId="77777777" w:rsidR="00051C16" w:rsidRDefault="00000000">
            <w:r>
              <w:rPr>
                <w:sz w:val="15"/>
              </w:rPr>
              <w:t>Sensors &amp; Instruments = 57.59% of H1 Net Revenue</w:t>
            </w:r>
          </w:p>
        </w:tc>
        <w:tc>
          <w:tcPr>
            <w:tcW w:w="2376" w:type="dxa"/>
            <w:shd w:val="clear" w:color="auto" w:fill="F5F7F9"/>
            <w:vAlign w:val="center"/>
          </w:tcPr>
          <w:p w14:paraId="7EFE17E2" w14:textId="77777777" w:rsidR="00051C16" w:rsidRDefault="00000000">
            <w:r>
              <w:rPr>
                <w:sz w:val="15"/>
              </w:rPr>
              <w:t>Large revenue base is not sufficient evidence of superior profitability</w:t>
            </w:r>
          </w:p>
        </w:tc>
      </w:tr>
      <w:tr w:rsidR="00051C16" w14:paraId="57059240" w14:textId="77777777">
        <w:trPr>
          <w:jc w:val="center"/>
        </w:trPr>
        <w:tc>
          <w:tcPr>
            <w:tcW w:w="2232" w:type="dxa"/>
            <w:vAlign w:val="center"/>
          </w:tcPr>
          <w:p w14:paraId="66490E99" w14:textId="77777777" w:rsidR="00051C16" w:rsidRDefault="00000000">
            <w:r>
              <w:rPr>
                <w:b/>
                <w:sz w:val="15"/>
              </w:rPr>
              <w:t>Data-quality effects</w:t>
            </w:r>
          </w:p>
        </w:tc>
        <w:tc>
          <w:tcPr>
            <w:tcW w:w="4608" w:type="dxa"/>
            <w:vAlign w:val="center"/>
          </w:tcPr>
          <w:p w14:paraId="1BC20416" w14:textId="77777777" w:rsidR="00051C16" w:rsidRDefault="00000000">
            <w:r>
              <w:rPr>
                <w:sz w:val="15"/>
              </w:rPr>
              <w:t>Invalid IDs, inconsistent classifications, missing dates/costs, duplicates</w:t>
            </w:r>
          </w:p>
        </w:tc>
        <w:tc>
          <w:tcPr>
            <w:tcW w:w="2376" w:type="dxa"/>
            <w:vAlign w:val="center"/>
          </w:tcPr>
          <w:p w14:paraId="7D23872C" w14:textId="77777777" w:rsidR="00051C16" w:rsidRDefault="00000000">
            <w:r>
              <w:rPr>
                <w:sz w:val="15"/>
              </w:rPr>
              <w:t>Can distort dimension-level reporting and should be controlled</w:t>
            </w:r>
          </w:p>
        </w:tc>
      </w:tr>
    </w:tbl>
    <w:p w14:paraId="0BC8976A" w14:textId="77777777" w:rsidR="00051C16" w:rsidRDefault="00051C16">
      <w:pPr>
        <w:spacing w:after="20"/>
      </w:pPr>
    </w:p>
    <w:p w14:paraId="29658225" w14:textId="77777777" w:rsidR="00051C16" w:rsidRDefault="00000000">
      <w:pPr>
        <w:pStyle w:val="Heading2"/>
      </w:pPr>
      <w:r>
        <w:t>13.2 Anomaly Review Philosophy</w:t>
      </w:r>
    </w:p>
    <w:p w14:paraId="363E879B" w14:textId="77777777" w:rsidR="00051C16" w:rsidRDefault="00000000">
      <w:r>
        <w:t>The analysis deliberately avoided automatic anomaly deletion. Genuine high-discount strategic deals, real cost increases, legitimate regional differences, and repeated valid orders can look abnormal without being wrong.</w:t>
      </w:r>
    </w:p>
    <w:p w14:paraId="17E507B3" w14:textId="77777777" w:rsidR="00051C16" w:rsidRDefault="00000000">
      <w:pPr>
        <w:pStyle w:val="Heading2"/>
      </w:pPr>
      <w:r>
        <w:t>13.3 Workstream Conclusion</w:t>
      </w:r>
    </w:p>
    <w:tbl>
      <w:tblPr>
        <w:tblStyle w:val="TableGrid"/>
        <w:tblW w:w="0" w:type="auto"/>
        <w:jc w:val="center"/>
        <w:tblLook w:val="04A0" w:firstRow="1" w:lastRow="0" w:firstColumn="1" w:lastColumn="0" w:noHBand="0" w:noVBand="1"/>
      </w:tblPr>
      <w:tblGrid>
        <w:gridCol w:w="10166"/>
      </w:tblGrid>
      <w:tr w:rsidR="00051C16" w14:paraId="67FB97EE" w14:textId="77777777">
        <w:trPr>
          <w:tblHeader/>
          <w:jc w:val="center"/>
        </w:trPr>
        <w:tc>
          <w:tcPr>
            <w:tcW w:w="10166" w:type="dxa"/>
            <w:shd w:val="clear" w:color="auto" w:fill="EAF2F8"/>
          </w:tcPr>
          <w:p w14:paraId="48650EF5" w14:textId="77777777" w:rsidR="00051C16" w:rsidRDefault="00000000">
            <w:pPr>
              <w:spacing w:after="40"/>
            </w:pPr>
            <w:r>
              <w:rPr>
                <w:b/>
                <w:color w:val="1F4E6E"/>
              </w:rPr>
              <w:t>WS7 conclusion</w:t>
            </w:r>
            <w:r>
              <w:rPr>
                <w:sz w:val="17"/>
              </w:rPr>
              <w:t xml:space="preserve">  The profitability gap is multi-factor. Discounting, product-level cost pressure, business-unit economics, and mix effects interact, while data-quality issues can amplify or obscure the apparent size of individual drivers.</w:t>
            </w:r>
          </w:p>
        </w:tc>
      </w:tr>
    </w:tbl>
    <w:p w14:paraId="3A0077E1" w14:textId="77777777" w:rsidR="00051C16" w:rsidRDefault="00051C16">
      <w:pPr>
        <w:spacing w:after="20"/>
      </w:pPr>
    </w:p>
    <w:p w14:paraId="3F03B43A" w14:textId="77777777" w:rsidR="00051C16" w:rsidRDefault="00000000">
      <w:pPr>
        <w:pStyle w:val="Heading1"/>
      </w:pPr>
      <w:r>
        <w:t>14. Workstream 8 - Financial Impact &amp; Prioritization</w:t>
      </w:r>
    </w:p>
    <w:p w14:paraId="0C25E579" w14:textId="77777777" w:rsidR="00051C16" w:rsidRDefault="00000000">
      <w:pPr>
        <w:pStyle w:val="Heading2"/>
      </w:pPr>
      <w:r>
        <w:t>Objective</w:t>
      </w:r>
    </w:p>
    <w:p w14:paraId="24E1029D" w14:textId="77777777" w:rsidR="00051C16" w:rsidRDefault="00000000">
      <w:r>
        <w:t>Quantify the largest financial exposures and opportunities, classify the quality of the evidence, and rank management attention by materiality and actionability.</w:t>
      </w:r>
    </w:p>
    <w:tbl>
      <w:tblPr>
        <w:tblStyle w:val="TableGrid"/>
        <w:tblW w:w="0" w:type="auto"/>
        <w:jc w:val="center"/>
        <w:tblLook w:val="04A0" w:firstRow="1" w:lastRow="0" w:firstColumn="1" w:lastColumn="0" w:noHBand="0" w:noVBand="1"/>
      </w:tblPr>
      <w:tblGrid>
        <w:gridCol w:w="792"/>
        <w:gridCol w:w="2880"/>
        <w:gridCol w:w="1224"/>
        <w:gridCol w:w="1728"/>
        <w:gridCol w:w="2880"/>
      </w:tblGrid>
      <w:tr w:rsidR="00051C16" w14:paraId="4FD5FB19" w14:textId="77777777">
        <w:trPr>
          <w:tblHeader/>
          <w:jc w:val="center"/>
        </w:trPr>
        <w:tc>
          <w:tcPr>
            <w:tcW w:w="792" w:type="dxa"/>
            <w:shd w:val="clear" w:color="auto" w:fill="1F4E6E"/>
            <w:vAlign w:val="center"/>
          </w:tcPr>
          <w:p w14:paraId="672E0897" w14:textId="77777777" w:rsidR="00051C16" w:rsidRDefault="00000000">
            <w:pPr>
              <w:jc w:val="center"/>
            </w:pPr>
            <w:r>
              <w:rPr>
                <w:b/>
                <w:color w:val="FFFFFF"/>
                <w:sz w:val="16"/>
              </w:rPr>
              <w:t>Priority</w:t>
            </w:r>
          </w:p>
        </w:tc>
        <w:tc>
          <w:tcPr>
            <w:tcW w:w="2880" w:type="dxa"/>
            <w:shd w:val="clear" w:color="auto" w:fill="1F4E6E"/>
            <w:vAlign w:val="center"/>
          </w:tcPr>
          <w:p w14:paraId="6C0C749A" w14:textId="77777777" w:rsidR="00051C16" w:rsidRDefault="00000000">
            <w:pPr>
              <w:jc w:val="center"/>
            </w:pPr>
            <w:r>
              <w:rPr>
                <w:b/>
                <w:color w:val="FFFFFF"/>
                <w:sz w:val="16"/>
              </w:rPr>
              <w:t>Issue / opportunity</w:t>
            </w:r>
          </w:p>
        </w:tc>
        <w:tc>
          <w:tcPr>
            <w:tcW w:w="1224" w:type="dxa"/>
            <w:shd w:val="clear" w:color="auto" w:fill="1F4E6E"/>
            <w:vAlign w:val="center"/>
          </w:tcPr>
          <w:p w14:paraId="34E2196E" w14:textId="77777777" w:rsidR="00051C16" w:rsidRDefault="00000000">
            <w:pPr>
              <w:jc w:val="center"/>
            </w:pPr>
            <w:r>
              <w:rPr>
                <w:b/>
                <w:color w:val="FFFFFF"/>
                <w:sz w:val="16"/>
              </w:rPr>
              <w:t>Amount</w:t>
            </w:r>
          </w:p>
        </w:tc>
        <w:tc>
          <w:tcPr>
            <w:tcW w:w="1728" w:type="dxa"/>
            <w:shd w:val="clear" w:color="auto" w:fill="1F4E6E"/>
            <w:vAlign w:val="center"/>
          </w:tcPr>
          <w:p w14:paraId="60F65093" w14:textId="77777777" w:rsidR="00051C16" w:rsidRDefault="00000000">
            <w:pPr>
              <w:jc w:val="center"/>
            </w:pPr>
            <w:r>
              <w:rPr>
                <w:b/>
                <w:color w:val="FFFFFF"/>
                <w:sz w:val="16"/>
              </w:rPr>
              <w:t>Evidence class</w:t>
            </w:r>
          </w:p>
        </w:tc>
        <w:tc>
          <w:tcPr>
            <w:tcW w:w="2880" w:type="dxa"/>
            <w:shd w:val="clear" w:color="auto" w:fill="1F4E6E"/>
            <w:vAlign w:val="center"/>
          </w:tcPr>
          <w:p w14:paraId="647DF968" w14:textId="77777777" w:rsidR="00051C16" w:rsidRDefault="00000000">
            <w:pPr>
              <w:jc w:val="center"/>
            </w:pPr>
            <w:r>
              <w:rPr>
                <w:b/>
                <w:color w:val="FFFFFF"/>
                <w:sz w:val="16"/>
              </w:rPr>
              <w:t>Management interpretation</w:t>
            </w:r>
          </w:p>
        </w:tc>
      </w:tr>
      <w:tr w:rsidR="00051C16" w14:paraId="7863BA42" w14:textId="77777777">
        <w:trPr>
          <w:jc w:val="center"/>
        </w:trPr>
        <w:tc>
          <w:tcPr>
            <w:tcW w:w="792" w:type="dxa"/>
            <w:vAlign w:val="center"/>
          </w:tcPr>
          <w:p w14:paraId="5F0ED2A2" w14:textId="77777777" w:rsidR="00051C16" w:rsidRDefault="00000000">
            <w:r>
              <w:rPr>
                <w:b/>
                <w:sz w:val="15"/>
              </w:rPr>
              <w:t>1</w:t>
            </w:r>
          </w:p>
        </w:tc>
        <w:tc>
          <w:tcPr>
            <w:tcW w:w="2880" w:type="dxa"/>
            <w:vAlign w:val="center"/>
          </w:tcPr>
          <w:p w14:paraId="56B387E9" w14:textId="77777777" w:rsidR="00051C16" w:rsidRDefault="00000000">
            <w:r>
              <w:rPr>
                <w:sz w:val="15"/>
              </w:rPr>
              <w:t>Distributor + Strategic discount exposure</w:t>
            </w:r>
          </w:p>
        </w:tc>
        <w:tc>
          <w:tcPr>
            <w:tcW w:w="1224" w:type="dxa"/>
            <w:vAlign w:val="center"/>
          </w:tcPr>
          <w:p w14:paraId="4071E789" w14:textId="77777777" w:rsidR="00051C16" w:rsidRDefault="00000000">
            <w:r>
              <w:rPr>
                <w:sz w:val="15"/>
              </w:rPr>
              <w:t>~$510.8K</w:t>
            </w:r>
          </w:p>
        </w:tc>
        <w:tc>
          <w:tcPr>
            <w:tcW w:w="1728" w:type="dxa"/>
            <w:vAlign w:val="center"/>
          </w:tcPr>
          <w:p w14:paraId="6CCC5034" w14:textId="77777777" w:rsidR="00051C16" w:rsidRDefault="00000000">
            <w:r>
              <w:rPr>
                <w:sz w:val="15"/>
              </w:rPr>
              <w:t>Revenue exposure</w:t>
            </w:r>
          </w:p>
        </w:tc>
        <w:tc>
          <w:tcPr>
            <w:tcW w:w="2880" w:type="dxa"/>
            <w:vAlign w:val="center"/>
          </w:tcPr>
          <w:p w14:paraId="752DC822" w14:textId="77777777" w:rsidR="00051C16" w:rsidRDefault="00000000">
            <w:r>
              <w:rPr>
                <w:sz w:val="15"/>
              </w:rPr>
              <w:t>Largest quantified amount; review governance, not assume full recoverability</w:t>
            </w:r>
          </w:p>
        </w:tc>
      </w:tr>
      <w:tr w:rsidR="00051C16" w14:paraId="1802436B" w14:textId="77777777">
        <w:trPr>
          <w:jc w:val="center"/>
        </w:trPr>
        <w:tc>
          <w:tcPr>
            <w:tcW w:w="792" w:type="dxa"/>
            <w:shd w:val="clear" w:color="auto" w:fill="F5F7F9"/>
            <w:vAlign w:val="center"/>
          </w:tcPr>
          <w:p w14:paraId="24ED6433" w14:textId="77777777" w:rsidR="00051C16" w:rsidRDefault="00000000">
            <w:r>
              <w:rPr>
                <w:b/>
                <w:sz w:val="15"/>
              </w:rPr>
              <w:t>2</w:t>
            </w:r>
          </w:p>
        </w:tc>
        <w:tc>
          <w:tcPr>
            <w:tcW w:w="2880" w:type="dxa"/>
            <w:shd w:val="clear" w:color="auto" w:fill="F5F7F9"/>
            <w:vAlign w:val="center"/>
          </w:tcPr>
          <w:p w14:paraId="4229B37F" w14:textId="77777777" w:rsidR="00051C16" w:rsidRPr="000752E9" w:rsidRDefault="00000000">
            <w:pPr>
              <w:rPr>
                <w:lang w:val="fr-FR"/>
              </w:rPr>
            </w:pPr>
            <w:r w:rsidRPr="000752E9">
              <w:rPr>
                <w:sz w:val="15"/>
                <w:lang w:val="fr-FR"/>
              </w:rPr>
              <w:t xml:space="preserve">P-SI-004 + P-SI-007 </w:t>
            </w:r>
            <w:proofErr w:type="spellStart"/>
            <w:r w:rsidRPr="000752E9">
              <w:rPr>
                <w:sz w:val="15"/>
                <w:lang w:val="fr-FR"/>
              </w:rPr>
              <w:t>cost</w:t>
            </w:r>
            <w:proofErr w:type="spellEnd"/>
            <w:r w:rsidRPr="000752E9">
              <w:rPr>
                <w:sz w:val="15"/>
                <w:lang w:val="fr-FR"/>
              </w:rPr>
              <w:t xml:space="preserve"> </w:t>
            </w:r>
            <w:proofErr w:type="spellStart"/>
            <w:r w:rsidRPr="000752E9">
              <w:rPr>
                <w:sz w:val="15"/>
                <w:lang w:val="fr-FR"/>
              </w:rPr>
              <w:t>overrun</w:t>
            </w:r>
            <w:proofErr w:type="spellEnd"/>
          </w:p>
        </w:tc>
        <w:tc>
          <w:tcPr>
            <w:tcW w:w="1224" w:type="dxa"/>
            <w:shd w:val="clear" w:color="auto" w:fill="F5F7F9"/>
            <w:vAlign w:val="center"/>
          </w:tcPr>
          <w:p w14:paraId="54D7E71A" w14:textId="77777777" w:rsidR="00051C16" w:rsidRDefault="00000000">
            <w:r>
              <w:rPr>
                <w:sz w:val="15"/>
              </w:rPr>
              <w:t>~$49.5K</w:t>
            </w:r>
          </w:p>
        </w:tc>
        <w:tc>
          <w:tcPr>
            <w:tcW w:w="1728" w:type="dxa"/>
            <w:shd w:val="clear" w:color="auto" w:fill="F5F7F9"/>
            <w:vAlign w:val="center"/>
          </w:tcPr>
          <w:p w14:paraId="79C9B3B9" w14:textId="77777777" w:rsidR="00051C16" w:rsidRDefault="00000000">
            <w:r>
              <w:rPr>
                <w:sz w:val="15"/>
              </w:rPr>
              <w:t>Confirmed measurable impact</w:t>
            </w:r>
          </w:p>
        </w:tc>
        <w:tc>
          <w:tcPr>
            <w:tcW w:w="2880" w:type="dxa"/>
            <w:shd w:val="clear" w:color="auto" w:fill="F5F7F9"/>
            <w:vAlign w:val="center"/>
          </w:tcPr>
          <w:p w14:paraId="4A00B3E5" w14:textId="77777777" w:rsidR="00051C16" w:rsidRDefault="00000000">
            <w:r>
              <w:rPr>
                <w:sz w:val="15"/>
              </w:rPr>
              <w:t>Strongest directly benchmarked cost-improvement opportunity</w:t>
            </w:r>
          </w:p>
        </w:tc>
      </w:tr>
      <w:tr w:rsidR="00051C16" w14:paraId="35A68EDD" w14:textId="77777777">
        <w:trPr>
          <w:jc w:val="center"/>
        </w:trPr>
        <w:tc>
          <w:tcPr>
            <w:tcW w:w="792" w:type="dxa"/>
            <w:vAlign w:val="center"/>
          </w:tcPr>
          <w:p w14:paraId="29E11093" w14:textId="77777777" w:rsidR="00051C16" w:rsidRDefault="00000000">
            <w:r>
              <w:rPr>
                <w:b/>
                <w:sz w:val="15"/>
              </w:rPr>
              <w:t>3</w:t>
            </w:r>
          </w:p>
        </w:tc>
        <w:tc>
          <w:tcPr>
            <w:tcW w:w="2880" w:type="dxa"/>
            <w:vAlign w:val="center"/>
          </w:tcPr>
          <w:p w14:paraId="3A45B3CA" w14:textId="77777777" w:rsidR="00051C16" w:rsidRDefault="00000000">
            <w:r>
              <w:rPr>
                <w:sz w:val="15"/>
              </w:rPr>
              <w:t>Field Services improvement opportunity</w:t>
            </w:r>
          </w:p>
        </w:tc>
        <w:tc>
          <w:tcPr>
            <w:tcW w:w="1224" w:type="dxa"/>
            <w:vAlign w:val="center"/>
          </w:tcPr>
          <w:p w14:paraId="1F0F24CD" w14:textId="77777777" w:rsidR="00051C16" w:rsidRDefault="00000000">
            <w:r>
              <w:rPr>
                <w:sz w:val="15"/>
              </w:rPr>
              <w:t>~$44K</w:t>
            </w:r>
          </w:p>
        </w:tc>
        <w:tc>
          <w:tcPr>
            <w:tcW w:w="1728" w:type="dxa"/>
            <w:vAlign w:val="center"/>
          </w:tcPr>
          <w:p w14:paraId="23038CD7" w14:textId="77777777" w:rsidR="00051C16" w:rsidRDefault="00000000">
            <w:r>
              <w:rPr>
                <w:sz w:val="15"/>
              </w:rPr>
              <w:t>Illustrative opportunity</w:t>
            </w:r>
          </w:p>
        </w:tc>
        <w:tc>
          <w:tcPr>
            <w:tcW w:w="2880" w:type="dxa"/>
            <w:vAlign w:val="center"/>
          </w:tcPr>
          <w:p w14:paraId="5A3EC8B4" w14:textId="77777777" w:rsidR="00051C16" w:rsidRDefault="00000000">
            <w:r>
              <w:rPr>
                <w:sz w:val="15"/>
              </w:rPr>
              <w:t>Directional upside; validate with service pricing/utilization economics</w:t>
            </w:r>
          </w:p>
        </w:tc>
      </w:tr>
    </w:tbl>
    <w:p w14:paraId="51C37639" w14:textId="77777777" w:rsidR="00051C16" w:rsidRDefault="00051C16">
      <w:pPr>
        <w:spacing w:after="20"/>
      </w:pPr>
    </w:p>
    <w:p w14:paraId="529B3C8D" w14:textId="77777777" w:rsidR="00051C16" w:rsidRDefault="00000000">
      <w:pPr>
        <w:pStyle w:val="Heading2"/>
      </w:pPr>
      <w:r>
        <w:t>14.1 Why the Amounts Are Not Additive</w:t>
      </w:r>
    </w:p>
    <w:p w14:paraId="286ED0E1" w14:textId="77777777" w:rsidR="00051C16" w:rsidRDefault="00000000">
      <w:r>
        <w:t>The figures represent different financial constructs. Discount exposure is a revenue-realization amount; the cost overrun is an actual-vs-standard cost difference; and the Field Services figure is a benchmark-based opportunity. Summing them would create a misleading "total loss" or "total opportunity" figure.</w:t>
      </w:r>
    </w:p>
    <w:p w14:paraId="3E50118B" w14:textId="77777777" w:rsidR="00051C16" w:rsidRDefault="00000000">
      <w:pPr>
        <w:pStyle w:val="Heading2"/>
      </w:pPr>
      <w:r>
        <w:lastRenderedPageBreak/>
        <w:t>14.2 Prioritization Logic</w:t>
      </w:r>
    </w:p>
    <w:tbl>
      <w:tblPr>
        <w:tblStyle w:val="TableGrid"/>
        <w:tblW w:w="0" w:type="auto"/>
        <w:jc w:val="center"/>
        <w:tblLook w:val="04A0" w:firstRow="1" w:lastRow="0" w:firstColumn="1" w:lastColumn="0" w:noHBand="0" w:noVBand="1"/>
      </w:tblPr>
      <w:tblGrid>
        <w:gridCol w:w="2592"/>
        <w:gridCol w:w="5904"/>
      </w:tblGrid>
      <w:tr w:rsidR="00051C16" w14:paraId="032A781A" w14:textId="77777777">
        <w:trPr>
          <w:tblHeader/>
          <w:jc w:val="center"/>
        </w:trPr>
        <w:tc>
          <w:tcPr>
            <w:tcW w:w="2592" w:type="dxa"/>
            <w:shd w:val="clear" w:color="auto" w:fill="1F4E6E"/>
            <w:vAlign w:val="center"/>
          </w:tcPr>
          <w:p w14:paraId="20BDD81E" w14:textId="77777777" w:rsidR="00051C16" w:rsidRDefault="00000000">
            <w:pPr>
              <w:jc w:val="center"/>
            </w:pPr>
            <w:r>
              <w:rPr>
                <w:b/>
                <w:color w:val="FFFFFF"/>
                <w:sz w:val="16"/>
              </w:rPr>
              <w:t>Criterion</w:t>
            </w:r>
          </w:p>
        </w:tc>
        <w:tc>
          <w:tcPr>
            <w:tcW w:w="5904" w:type="dxa"/>
            <w:shd w:val="clear" w:color="auto" w:fill="1F4E6E"/>
            <w:vAlign w:val="center"/>
          </w:tcPr>
          <w:p w14:paraId="2E18A97A" w14:textId="77777777" w:rsidR="00051C16" w:rsidRDefault="00000000">
            <w:pPr>
              <w:jc w:val="center"/>
            </w:pPr>
            <w:r>
              <w:rPr>
                <w:b/>
                <w:color w:val="FFFFFF"/>
                <w:sz w:val="16"/>
              </w:rPr>
              <w:t>Question used</w:t>
            </w:r>
          </w:p>
        </w:tc>
      </w:tr>
      <w:tr w:rsidR="00051C16" w14:paraId="5B7A05A6" w14:textId="77777777">
        <w:trPr>
          <w:jc w:val="center"/>
        </w:trPr>
        <w:tc>
          <w:tcPr>
            <w:tcW w:w="2592" w:type="dxa"/>
            <w:vAlign w:val="center"/>
          </w:tcPr>
          <w:p w14:paraId="0F4E3B90" w14:textId="77777777" w:rsidR="00051C16" w:rsidRDefault="00000000">
            <w:r>
              <w:rPr>
                <w:b/>
                <w:sz w:val="15"/>
              </w:rPr>
              <w:t>Financial materiality</w:t>
            </w:r>
          </w:p>
        </w:tc>
        <w:tc>
          <w:tcPr>
            <w:tcW w:w="5904" w:type="dxa"/>
            <w:vAlign w:val="center"/>
          </w:tcPr>
          <w:p w14:paraId="474FCD0B" w14:textId="77777777" w:rsidR="00051C16" w:rsidRDefault="00000000">
            <w:r>
              <w:rPr>
                <w:sz w:val="15"/>
              </w:rPr>
              <w:t>How large is the quantified amount relative to the H1 business scale?</w:t>
            </w:r>
          </w:p>
        </w:tc>
      </w:tr>
      <w:tr w:rsidR="00051C16" w14:paraId="3E51DA74" w14:textId="77777777">
        <w:trPr>
          <w:jc w:val="center"/>
        </w:trPr>
        <w:tc>
          <w:tcPr>
            <w:tcW w:w="2592" w:type="dxa"/>
            <w:shd w:val="clear" w:color="auto" w:fill="F5F7F9"/>
            <w:vAlign w:val="center"/>
          </w:tcPr>
          <w:p w14:paraId="7337854C" w14:textId="77777777" w:rsidR="00051C16" w:rsidRDefault="00000000">
            <w:r>
              <w:rPr>
                <w:b/>
                <w:sz w:val="15"/>
              </w:rPr>
              <w:t>Evidence strength</w:t>
            </w:r>
          </w:p>
        </w:tc>
        <w:tc>
          <w:tcPr>
            <w:tcW w:w="5904" w:type="dxa"/>
            <w:shd w:val="clear" w:color="auto" w:fill="F5F7F9"/>
            <w:vAlign w:val="center"/>
          </w:tcPr>
          <w:p w14:paraId="3401A634" w14:textId="77777777" w:rsidR="00051C16" w:rsidRDefault="00000000">
            <w:r>
              <w:rPr>
                <w:sz w:val="15"/>
              </w:rPr>
              <w:t>Is the figure directly benchmarked, exposure-based, or illustrative?</w:t>
            </w:r>
          </w:p>
        </w:tc>
      </w:tr>
      <w:tr w:rsidR="00051C16" w14:paraId="3AF48F8F" w14:textId="77777777">
        <w:trPr>
          <w:jc w:val="center"/>
        </w:trPr>
        <w:tc>
          <w:tcPr>
            <w:tcW w:w="2592" w:type="dxa"/>
            <w:vAlign w:val="center"/>
          </w:tcPr>
          <w:p w14:paraId="65366B81" w14:textId="77777777" w:rsidR="00051C16" w:rsidRDefault="00000000">
            <w:r>
              <w:rPr>
                <w:b/>
                <w:sz w:val="15"/>
              </w:rPr>
              <w:t>Actionability</w:t>
            </w:r>
          </w:p>
        </w:tc>
        <w:tc>
          <w:tcPr>
            <w:tcW w:w="5904" w:type="dxa"/>
            <w:vAlign w:val="center"/>
          </w:tcPr>
          <w:p w14:paraId="73C72C1F" w14:textId="77777777" w:rsidR="00051C16" w:rsidRDefault="00000000">
            <w:r>
              <w:rPr>
                <w:sz w:val="15"/>
              </w:rPr>
              <w:t>Can management take a clear action based on the finding?</w:t>
            </w:r>
          </w:p>
        </w:tc>
      </w:tr>
      <w:tr w:rsidR="00051C16" w14:paraId="2FEF7A77" w14:textId="77777777">
        <w:trPr>
          <w:jc w:val="center"/>
        </w:trPr>
        <w:tc>
          <w:tcPr>
            <w:tcW w:w="2592" w:type="dxa"/>
            <w:shd w:val="clear" w:color="auto" w:fill="F5F7F9"/>
            <w:vAlign w:val="center"/>
          </w:tcPr>
          <w:p w14:paraId="533422CF" w14:textId="77777777" w:rsidR="00051C16" w:rsidRDefault="00000000">
            <w:r>
              <w:rPr>
                <w:b/>
                <w:sz w:val="15"/>
              </w:rPr>
              <w:t>Risk of over-claiming</w:t>
            </w:r>
          </w:p>
        </w:tc>
        <w:tc>
          <w:tcPr>
            <w:tcW w:w="5904" w:type="dxa"/>
            <w:shd w:val="clear" w:color="auto" w:fill="F5F7F9"/>
            <w:vAlign w:val="center"/>
          </w:tcPr>
          <w:p w14:paraId="12285271" w14:textId="77777777" w:rsidR="00051C16" w:rsidRDefault="00000000">
            <w:r>
              <w:rPr>
                <w:sz w:val="15"/>
              </w:rPr>
              <w:t>Could the amount be commercially justified, non-recoverable, or dependent on validation?</w:t>
            </w:r>
          </w:p>
        </w:tc>
      </w:tr>
      <w:tr w:rsidR="00051C16" w14:paraId="7F5B17F3" w14:textId="77777777">
        <w:trPr>
          <w:jc w:val="center"/>
        </w:trPr>
        <w:tc>
          <w:tcPr>
            <w:tcW w:w="2592" w:type="dxa"/>
            <w:vAlign w:val="center"/>
          </w:tcPr>
          <w:p w14:paraId="1139F0AA" w14:textId="77777777" w:rsidR="00051C16" w:rsidRDefault="00000000">
            <w:r>
              <w:rPr>
                <w:b/>
                <w:sz w:val="15"/>
              </w:rPr>
              <w:t>Strategic value</w:t>
            </w:r>
          </w:p>
        </w:tc>
        <w:tc>
          <w:tcPr>
            <w:tcW w:w="5904" w:type="dxa"/>
            <w:vAlign w:val="center"/>
          </w:tcPr>
          <w:p w14:paraId="76D25D88" w14:textId="77777777" w:rsidR="00051C16" w:rsidRDefault="00000000">
            <w:r>
              <w:rPr>
                <w:sz w:val="15"/>
              </w:rPr>
              <w:t>Does the issue affect future growth quality or structural economics?</w:t>
            </w:r>
          </w:p>
        </w:tc>
      </w:tr>
    </w:tbl>
    <w:p w14:paraId="64B2B4B2" w14:textId="77777777" w:rsidR="00051C16" w:rsidRDefault="00051C16">
      <w:pPr>
        <w:spacing w:after="20"/>
      </w:pPr>
    </w:p>
    <w:p w14:paraId="36CAEE66" w14:textId="77777777" w:rsidR="00051C16" w:rsidRDefault="00000000">
      <w:pPr>
        <w:pStyle w:val="Heading2"/>
      </w:pPr>
      <w:r>
        <w:t>14.3 Workstream Conclusion</w:t>
      </w:r>
    </w:p>
    <w:tbl>
      <w:tblPr>
        <w:tblStyle w:val="TableGrid"/>
        <w:tblW w:w="0" w:type="auto"/>
        <w:jc w:val="center"/>
        <w:tblLook w:val="04A0" w:firstRow="1" w:lastRow="0" w:firstColumn="1" w:lastColumn="0" w:noHBand="0" w:noVBand="1"/>
      </w:tblPr>
      <w:tblGrid>
        <w:gridCol w:w="10166"/>
      </w:tblGrid>
      <w:tr w:rsidR="00051C16" w14:paraId="0BD46B7A" w14:textId="77777777">
        <w:trPr>
          <w:tblHeader/>
          <w:jc w:val="center"/>
        </w:trPr>
        <w:tc>
          <w:tcPr>
            <w:tcW w:w="10166" w:type="dxa"/>
            <w:shd w:val="clear" w:color="auto" w:fill="EAF2F8"/>
          </w:tcPr>
          <w:p w14:paraId="2228A1D0" w14:textId="77777777" w:rsidR="00051C16" w:rsidRDefault="00000000">
            <w:pPr>
              <w:spacing w:after="40"/>
            </w:pPr>
            <w:r>
              <w:rPr>
                <w:b/>
                <w:color w:val="1F4E6E"/>
              </w:rPr>
              <w:t>WS8 conclusion</w:t>
            </w:r>
            <w:r>
              <w:rPr>
                <w:sz w:val="17"/>
              </w:rPr>
              <w:t xml:space="preserve">  Discount governance is the largest financial exposure, but product cost control is the strongest directly measurable cost opportunity. Field Services remains an attractive follow-up opportunity but requires further validation before financial commitment.</w:t>
            </w:r>
          </w:p>
        </w:tc>
      </w:tr>
    </w:tbl>
    <w:p w14:paraId="01A36835" w14:textId="4622E3DD" w:rsidR="00051C16" w:rsidRDefault="00051C16"/>
    <w:p w14:paraId="74E161A3" w14:textId="77777777" w:rsidR="00051C16" w:rsidRDefault="00000000">
      <w:pPr>
        <w:pStyle w:val="Heading1"/>
      </w:pPr>
      <w:r>
        <w:t>15. Workstream 9 - Management Recommendations</w:t>
      </w:r>
    </w:p>
    <w:p w14:paraId="056BA6C0" w14:textId="77777777" w:rsidR="00051C16" w:rsidRDefault="00000000">
      <w:pPr>
        <w:pStyle w:val="Heading2"/>
      </w:pPr>
      <w:r>
        <w:t>Objective</w:t>
      </w:r>
    </w:p>
    <w:p w14:paraId="0DE8CE6C" w14:textId="77777777" w:rsidR="00051C16" w:rsidRDefault="00000000">
      <w:r>
        <w:t>Translate the evidence into prioritized, practical actions that management can use to improve revenue quality, cost discipline, business-unit economics, and reporting reliability.</w:t>
      </w:r>
    </w:p>
    <w:tbl>
      <w:tblPr>
        <w:tblStyle w:val="TableGrid"/>
        <w:tblW w:w="0" w:type="auto"/>
        <w:jc w:val="center"/>
        <w:tblLook w:val="04A0" w:firstRow="1" w:lastRow="0" w:firstColumn="1" w:lastColumn="0" w:noHBand="0" w:noVBand="1"/>
      </w:tblPr>
      <w:tblGrid>
        <w:gridCol w:w="936"/>
        <w:gridCol w:w="2520"/>
        <w:gridCol w:w="3240"/>
        <w:gridCol w:w="2880"/>
      </w:tblGrid>
      <w:tr w:rsidR="00051C16" w14:paraId="79F014B7" w14:textId="77777777">
        <w:trPr>
          <w:tblHeader/>
          <w:jc w:val="center"/>
        </w:trPr>
        <w:tc>
          <w:tcPr>
            <w:tcW w:w="936" w:type="dxa"/>
            <w:shd w:val="clear" w:color="auto" w:fill="1F4E6E"/>
            <w:vAlign w:val="center"/>
          </w:tcPr>
          <w:p w14:paraId="3743C154" w14:textId="77777777" w:rsidR="00051C16" w:rsidRDefault="00000000">
            <w:pPr>
              <w:jc w:val="center"/>
            </w:pPr>
            <w:r>
              <w:rPr>
                <w:b/>
                <w:color w:val="FFFFFF"/>
                <w:sz w:val="16"/>
              </w:rPr>
              <w:t>Priority</w:t>
            </w:r>
          </w:p>
        </w:tc>
        <w:tc>
          <w:tcPr>
            <w:tcW w:w="2520" w:type="dxa"/>
            <w:shd w:val="clear" w:color="auto" w:fill="1F4E6E"/>
            <w:vAlign w:val="center"/>
          </w:tcPr>
          <w:p w14:paraId="3D5C80EB" w14:textId="77777777" w:rsidR="00051C16" w:rsidRDefault="00000000">
            <w:pPr>
              <w:jc w:val="center"/>
            </w:pPr>
            <w:r>
              <w:rPr>
                <w:b/>
                <w:color w:val="FFFFFF"/>
                <w:sz w:val="16"/>
              </w:rPr>
              <w:t>Recommendation</w:t>
            </w:r>
          </w:p>
        </w:tc>
        <w:tc>
          <w:tcPr>
            <w:tcW w:w="3240" w:type="dxa"/>
            <w:shd w:val="clear" w:color="auto" w:fill="1F4E6E"/>
            <w:vAlign w:val="center"/>
          </w:tcPr>
          <w:p w14:paraId="20CA8333" w14:textId="77777777" w:rsidR="00051C16" w:rsidRDefault="00000000">
            <w:pPr>
              <w:jc w:val="center"/>
            </w:pPr>
            <w:r>
              <w:rPr>
                <w:b/>
                <w:color w:val="FFFFFF"/>
                <w:sz w:val="16"/>
              </w:rPr>
              <w:t>Why now</w:t>
            </w:r>
          </w:p>
        </w:tc>
        <w:tc>
          <w:tcPr>
            <w:tcW w:w="2880" w:type="dxa"/>
            <w:shd w:val="clear" w:color="auto" w:fill="1F4E6E"/>
            <w:vAlign w:val="center"/>
          </w:tcPr>
          <w:p w14:paraId="14180E7A" w14:textId="77777777" w:rsidR="00051C16" w:rsidRDefault="00000000">
            <w:pPr>
              <w:jc w:val="center"/>
            </w:pPr>
            <w:r>
              <w:rPr>
                <w:b/>
                <w:color w:val="FFFFFF"/>
                <w:sz w:val="16"/>
              </w:rPr>
              <w:t>Expected decision / action</w:t>
            </w:r>
          </w:p>
        </w:tc>
      </w:tr>
      <w:tr w:rsidR="00051C16" w14:paraId="7D36C06A" w14:textId="77777777">
        <w:trPr>
          <w:jc w:val="center"/>
        </w:trPr>
        <w:tc>
          <w:tcPr>
            <w:tcW w:w="936" w:type="dxa"/>
            <w:vAlign w:val="center"/>
          </w:tcPr>
          <w:p w14:paraId="0A57ABBE" w14:textId="77777777" w:rsidR="00051C16" w:rsidRDefault="00000000">
            <w:r>
              <w:rPr>
                <w:b/>
                <w:sz w:val="15"/>
              </w:rPr>
              <w:t>1</w:t>
            </w:r>
          </w:p>
        </w:tc>
        <w:tc>
          <w:tcPr>
            <w:tcW w:w="2520" w:type="dxa"/>
            <w:vAlign w:val="center"/>
          </w:tcPr>
          <w:p w14:paraId="606443DB" w14:textId="77777777" w:rsidR="00051C16" w:rsidRDefault="00000000">
            <w:r>
              <w:rPr>
                <w:sz w:val="15"/>
              </w:rPr>
              <w:t>Strengthen discount &amp; pricing governance</w:t>
            </w:r>
          </w:p>
        </w:tc>
        <w:tc>
          <w:tcPr>
            <w:tcW w:w="3240" w:type="dxa"/>
            <w:vAlign w:val="center"/>
          </w:tcPr>
          <w:p w14:paraId="018C0C5E" w14:textId="77777777" w:rsidR="00051C16" w:rsidRDefault="00000000">
            <w:r>
              <w:rPr>
                <w:sz w:val="15"/>
              </w:rPr>
              <w:t>Largest quantified financial exposure: ~ $510.8K Distributor + Strategic exposure</w:t>
            </w:r>
          </w:p>
        </w:tc>
        <w:tc>
          <w:tcPr>
            <w:tcW w:w="2880" w:type="dxa"/>
            <w:vAlign w:val="center"/>
          </w:tcPr>
          <w:p w14:paraId="74C32386" w14:textId="77777777" w:rsidR="00051C16" w:rsidRDefault="00000000">
            <w:r>
              <w:rPr>
                <w:sz w:val="15"/>
              </w:rPr>
              <w:t>Review discount corridors, approval thresholds, customer/channel economics, and exception governance</w:t>
            </w:r>
          </w:p>
        </w:tc>
      </w:tr>
      <w:tr w:rsidR="00051C16" w14:paraId="375C8F93" w14:textId="77777777">
        <w:trPr>
          <w:jc w:val="center"/>
        </w:trPr>
        <w:tc>
          <w:tcPr>
            <w:tcW w:w="936" w:type="dxa"/>
            <w:shd w:val="clear" w:color="auto" w:fill="F5F7F9"/>
            <w:vAlign w:val="center"/>
          </w:tcPr>
          <w:p w14:paraId="3880AE1A" w14:textId="77777777" w:rsidR="00051C16" w:rsidRDefault="00000000">
            <w:r>
              <w:rPr>
                <w:b/>
                <w:sz w:val="15"/>
              </w:rPr>
              <w:t>2</w:t>
            </w:r>
          </w:p>
        </w:tc>
        <w:tc>
          <w:tcPr>
            <w:tcW w:w="2520" w:type="dxa"/>
            <w:shd w:val="clear" w:color="auto" w:fill="F5F7F9"/>
            <w:vAlign w:val="center"/>
          </w:tcPr>
          <w:p w14:paraId="3BA3DE35" w14:textId="77777777" w:rsidR="00051C16" w:rsidRDefault="00000000">
            <w:r>
              <w:rPr>
                <w:sz w:val="15"/>
              </w:rPr>
              <w:t>Investigate P-SI-004 and P-SI-007 cost overruns</w:t>
            </w:r>
          </w:p>
        </w:tc>
        <w:tc>
          <w:tcPr>
            <w:tcW w:w="3240" w:type="dxa"/>
            <w:shd w:val="clear" w:color="auto" w:fill="F5F7F9"/>
            <w:vAlign w:val="center"/>
          </w:tcPr>
          <w:p w14:paraId="18906B07" w14:textId="77777777" w:rsidR="00051C16" w:rsidRDefault="00000000">
            <w:r>
              <w:rPr>
                <w:sz w:val="15"/>
              </w:rPr>
              <w:t>~ $49.5K actual-vs-standard overrun is directly benchmarked</w:t>
            </w:r>
          </w:p>
        </w:tc>
        <w:tc>
          <w:tcPr>
            <w:tcW w:w="2880" w:type="dxa"/>
            <w:shd w:val="clear" w:color="auto" w:fill="F5F7F9"/>
            <w:vAlign w:val="center"/>
          </w:tcPr>
          <w:p w14:paraId="7766A1DD" w14:textId="77777777" w:rsidR="00051C16" w:rsidRDefault="00000000">
            <w:r>
              <w:rPr>
                <w:sz w:val="15"/>
              </w:rPr>
              <w:t>Investigate components, labor, sourcing, efficiency, and standard-cost assumptions</w:t>
            </w:r>
          </w:p>
        </w:tc>
      </w:tr>
      <w:tr w:rsidR="00051C16" w14:paraId="7146F962" w14:textId="77777777">
        <w:trPr>
          <w:jc w:val="center"/>
        </w:trPr>
        <w:tc>
          <w:tcPr>
            <w:tcW w:w="936" w:type="dxa"/>
            <w:vAlign w:val="center"/>
          </w:tcPr>
          <w:p w14:paraId="74FCD0A4" w14:textId="77777777" w:rsidR="00051C16" w:rsidRDefault="00000000">
            <w:r>
              <w:rPr>
                <w:b/>
                <w:sz w:val="15"/>
              </w:rPr>
              <w:t>3</w:t>
            </w:r>
          </w:p>
        </w:tc>
        <w:tc>
          <w:tcPr>
            <w:tcW w:w="2520" w:type="dxa"/>
            <w:vAlign w:val="center"/>
          </w:tcPr>
          <w:p w14:paraId="21DD2668" w14:textId="77777777" w:rsidR="00051C16" w:rsidRDefault="00000000">
            <w:r>
              <w:rPr>
                <w:sz w:val="15"/>
              </w:rPr>
              <w:t>Protect and expand high-margin Software &amp; Analytics</w:t>
            </w:r>
          </w:p>
        </w:tc>
        <w:tc>
          <w:tcPr>
            <w:tcW w:w="3240" w:type="dxa"/>
            <w:vAlign w:val="center"/>
          </w:tcPr>
          <w:p w14:paraId="3C171CF4" w14:textId="77777777" w:rsidR="00051C16" w:rsidRDefault="00000000">
            <w:r>
              <w:rPr>
                <w:sz w:val="15"/>
              </w:rPr>
              <w:t>~95.08% contribution margin is the strongest economics identified</w:t>
            </w:r>
          </w:p>
        </w:tc>
        <w:tc>
          <w:tcPr>
            <w:tcW w:w="2880" w:type="dxa"/>
            <w:vAlign w:val="center"/>
          </w:tcPr>
          <w:p w14:paraId="5DBE86D1" w14:textId="77777777" w:rsidR="00051C16" w:rsidRDefault="00000000">
            <w:r>
              <w:rPr>
                <w:sz w:val="15"/>
              </w:rPr>
              <w:t>Review opportunities for software attachment, retention, and selective expansion</w:t>
            </w:r>
          </w:p>
        </w:tc>
      </w:tr>
      <w:tr w:rsidR="00051C16" w14:paraId="63A9C9FA" w14:textId="77777777">
        <w:trPr>
          <w:jc w:val="center"/>
        </w:trPr>
        <w:tc>
          <w:tcPr>
            <w:tcW w:w="936" w:type="dxa"/>
            <w:shd w:val="clear" w:color="auto" w:fill="F5F7F9"/>
            <w:vAlign w:val="center"/>
          </w:tcPr>
          <w:p w14:paraId="4ADA0F4D" w14:textId="77777777" w:rsidR="00051C16" w:rsidRDefault="00000000">
            <w:r>
              <w:rPr>
                <w:b/>
                <w:sz w:val="15"/>
              </w:rPr>
              <w:t>4</w:t>
            </w:r>
          </w:p>
        </w:tc>
        <w:tc>
          <w:tcPr>
            <w:tcW w:w="2520" w:type="dxa"/>
            <w:shd w:val="clear" w:color="auto" w:fill="F5F7F9"/>
            <w:vAlign w:val="center"/>
          </w:tcPr>
          <w:p w14:paraId="2A89C9A0" w14:textId="77777777" w:rsidR="00051C16" w:rsidRDefault="00000000">
            <w:r>
              <w:rPr>
                <w:sz w:val="15"/>
              </w:rPr>
              <w:t>Review Field Services economics</w:t>
            </w:r>
          </w:p>
        </w:tc>
        <w:tc>
          <w:tcPr>
            <w:tcW w:w="3240" w:type="dxa"/>
            <w:shd w:val="clear" w:color="auto" w:fill="F5F7F9"/>
            <w:vAlign w:val="center"/>
          </w:tcPr>
          <w:p w14:paraId="0308D200" w14:textId="77777777" w:rsidR="00051C16" w:rsidRDefault="00000000">
            <w:r>
              <w:rPr>
                <w:sz w:val="15"/>
              </w:rPr>
              <w:t>~37.97% contribution margin; ~ $44K illustrative improvement opportunity</w:t>
            </w:r>
          </w:p>
        </w:tc>
        <w:tc>
          <w:tcPr>
            <w:tcW w:w="2880" w:type="dxa"/>
            <w:shd w:val="clear" w:color="auto" w:fill="F5F7F9"/>
            <w:vAlign w:val="center"/>
          </w:tcPr>
          <w:p w14:paraId="046CF96F" w14:textId="77777777" w:rsidR="00051C16" w:rsidRDefault="00000000">
            <w:r>
              <w:rPr>
                <w:sz w:val="15"/>
              </w:rPr>
              <w:t>Review pricing, utilization, labor mix, contracts, and service delivery economics</w:t>
            </w:r>
          </w:p>
        </w:tc>
      </w:tr>
      <w:tr w:rsidR="00051C16" w14:paraId="3B3DEE1B" w14:textId="77777777">
        <w:trPr>
          <w:jc w:val="center"/>
        </w:trPr>
        <w:tc>
          <w:tcPr>
            <w:tcW w:w="936" w:type="dxa"/>
            <w:vAlign w:val="center"/>
          </w:tcPr>
          <w:p w14:paraId="03B66491" w14:textId="77777777" w:rsidR="00051C16" w:rsidRDefault="00000000">
            <w:r>
              <w:rPr>
                <w:b/>
                <w:sz w:val="15"/>
              </w:rPr>
              <w:t>5</w:t>
            </w:r>
          </w:p>
        </w:tc>
        <w:tc>
          <w:tcPr>
            <w:tcW w:w="2520" w:type="dxa"/>
            <w:vAlign w:val="center"/>
          </w:tcPr>
          <w:p w14:paraId="073CB053" w14:textId="77777777" w:rsidR="00051C16" w:rsidRDefault="00000000">
            <w:r>
              <w:rPr>
                <w:sz w:val="15"/>
              </w:rPr>
              <w:t>Strengthen data and reporting controls</w:t>
            </w:r>
          </w:p>
        </w:tc>
        <w:tc>
          <w:tcPr>
            <w:tcW w:w="3240" w:type="dxa"/>
            <w:vAlign w:val="center"/>
          </w:tcPr>
          <w:p w14:paraId="3E45029F" w14:textId="77777777" w:rsidR="00051C16" w:rsidRDefault="00000000">
            <w:r>
              <w:rPr>
                <w:sz w:val="15"/>
              </w:rPr>
              <w:t>Residual data-quality issues can undermine dimension-level decision making</w:t>
            </w:r>
          </w:p>
        </w:tc>
        <w:tc>
          <w:tcPr>
            <w:tcW w:w="2880" w:type="dxa"/>
            <w:vAlign w:val="center"/>
          </w:tcPr>
          <w:p w14:paraId="78825684" w14:textId="77777777" w:rsidR="00051C16" w:rsidRDefault="00000000">
            <w:r>
              <w:rPr>
                <w:sz w:val="15"/>
              </w:rPr>
              <w:t>Implement stronger validation rules for dates, IDs, classifications, and financial fields</w:t>
            </w:r>
          </w:p>
        </w:tc>
      </w:tr>
    </w:tbl>
    <w:p w14:paraId="51E447DE" w14:textId="77777777" w:rsidR="00051C16" w:rsidRDefault="00051C16">
      <w:pPr>
        <w:spacing w:after="20"/>
      </w:pPr>
    </w:p>
    <w:p w14:paraId="3DA5E31E" w14:textId="77777777" w:rsidR="00051C16" w:rsidRDefault="00000000">
      <w:pPr>
        <w:pStyle w:val="Heading2"/>
      </w:pPr>
      <w:r>
        <w:t>15.1 Recommendation 1 - Discount &amp; Pricing Governance</w:t>
      </w:r>
    </w:p>
    <w:p w14:paraId="2006DD14" w14:textId="77777777" w:rsidR="00051C16" w:rsidRDefault="00000000">
      <w:r>
        <w:t>The response should be selective rather than a blanket discount reduction. Strategic and Key Account discounts may create economic value through volume, retention, contract access, or customer lifetime contribution. The right control is a documented framework linking discount levels to expected profitability and commercial rationale.</w:t>
      </w:r>
    </w:p>
    <w:p w14:paraId="425C0050" w14:textId="77777777" w:rsidR="00051C16" w:rsidRDefault="00000000">
      <w:pPr>
        <w:pStyle w:val="ListBullet"/>
        <w:spacing w:after="40"/>
        <w:ind w:left="317" w:hanging="173"/>
      </w:pPr>
      <w:r>
        <w:t>Establish approval thresholds by channel, customer type, and product margin.</w:t>
      </w:r>
    </w:p>
    <w:p w14:paraId="5E84D1CE" w14:textId="77777777" w:rsidR="00051C16" w:rsidRDefault="00000000">
      <w:pPr>
        <w:pStyle w:val="ListBullet"/>
        <w:spacing w:after="40"/>
        <w:ind w:left="317" w:hanging="173"/>
      </w:pPr>
      <w:r>
        <w:t>Monitor net realization and contribution margin after discount, not discount percentage alone.</w:t>
      </w:r>
    </w:p>
    <w:p w14:paraId="2871B663" w14:textId="77777777" w:rsidR="00051C16" w:rsidRDefault="00000000">
      <w:pPr>
        <w:pStyle w:val="ListBullet"/>
        <w:spacing w:after="40"/>
        <w:ind w:left="317" w:hanging="173"/>
      </w:pPr>
      <w:r>
        <w:t>Flag large recurring exceptions for periodic commercial review.</w:t>
      </w:r>
    </w:p>
    <w:p w14:paraId="2D6EB2AE" w14:textId="77777777" w:rsidR="00051C16" w:rsidRDefault="00000000">
      <w:pPr>
        <w:pStyle w:val="Heading2"/>
      </w:pPr>
      <w:r>
        <w:t>15.2 Recommendation 2 - Product Cost Control</w:t>
      </w:r>
    </w:p>
    <w:p w14:paraId="0AC99854" w14:textId="77777777" w:rsidR="00051C16" w:rsidRDefault="00000000">
      <w:r>
        <w:t>The P-SI-004 and P-SI-007 cost overruns should be investigated before any standard-cost changes are made. The objective is to determine whether the issue is operational, sourcing-related, labor-related, or a standard-cost maintenance problem.</w:t>
      </w:r>
    </w:p>
    <w:p w14:paraId="72E57D31" w14:textId="77777777" w:rsidR="00051C16" w:rsidRDefault="00000000">
      <w:pPr>
        <w:pStyle w:val="Heading2"/>
      </w:pPr>
      <w:r>
        <w:lastRenderedPageBreak/>
        <w:t>15.3 Recommendation 3 - High-Margin Mix</w:t>
      </w:r>
    </w:p>
    <w:p w14:paraId="6900C738" w14:textId="77777777" w:rsidR="00051C16" w:rsidRDefault="00000000">
      <w:r>
        <w:t>The ~95.08% contribution margin in Software &amp; Analytics provides a strong basis for reviewing software attachment and expansion strategies. Growth in this area can improve the quality of the revenue mix when supported by sustainable demand and delivery capacity.</w:t>
      </w:r>
    </w:p>
    <w:p w14:paraId="5DE7AA73" w14:textId="77777777" w:rsidR="00051C16" w:rsidRDefault="00000000">
      <w:pPr>
        <w:pStyle w:val="Heading2"/>
      </w:pPr>
      <w:r>
        <w:t>15.4 Recommendation 4 - Field Services Economics</w:t>
      </w:r>
    </w:p>
    <w:p w14:paraId="1B82E854" w14:textId="77777777" w:rsidR="00051C16" w:rsidRDefault="00000000">
      <w:r>
        <w:t>Field Services should be analyzed at the job, contract, labor, and utilization level. The ~44K illustrative benchmark opportunity is a directional signal to investigate economics, not a conclusion that the business unit is currently losing that amount.</w:t>
      </w:r>
    </w:p>
    <w:p w14:paraId="08179D3C" w14:textId="77777777" w:rsidR="00051C16" w:rsidRDefault="00000000">
      <w:pPr>
        <w:pStyle w:val="Heading2"/>
      </w:pPr>
      <w:r>
        <w:t>15.5 Recommendation 5 - Data Controls</w:t>
      </w:r>
    </w:p>
    <w:p w14:paraId="0CF7BB8D" w14:textId="77777777" w:rsidR="00051C16" w:rsidRDefault="00000000">
      <w:r>
        <w:t>Finance reporting should incorporate stronger controls around date validity, identifier matching, classification consistency, and critical financial fields. This is particularly important because data-quality weaknesses can propagate directly into product, customer, regional, and budget reporting.</w:t>
      </w:r>
    </w:p>
    <w:p w14:paraId="16E2BEE8" w14:textId="77777777" w:rsidR="00051C16" w:rsidRDefault="00000000">
      <w:pPr>
        <w:pStyle w:val="Heading2"/>
      </w:pPr>
      <w:r>
        <w:t>15.6 Management Focus Sequence</w:t>
      </w:r>
    </w:p>
    <w:tbl>
      <w:tblPr>
        <w:tblStyle w:val="TableGrid"/>
        <w:tblW w:w="0" w:type="auto"/>
        <w:jc w:val="center"/>
        <w:tblLook w:val="04A0" w:firstRow="1" w:lastRow="0" w:firstColumn="1" w:lastColumn="0" w:noHBand="0" w:noVBand="1"/>
      </w:tblPr>
      <w:tblGrid>
        <w:gridCol w:w="1872"/>
        <w:gridCol w:w="3888"/>
        <w:gridCol w:w="3816"/>
      </w:tblGrid>
      <w:tr w:rsidR="00051C16" w14:paraId="7BDD4137" w14:textId="77777777">
        <w:trPr>
          <w:tblHeader/>
          <w:jc w:val="center"/>
        </w:trPr>
        <w:tc>
          <w:tcPr>
            <w:tcW w:w="1872" w:type="dxa"/>
            <w:shd w:val="clear" w:color="auto" w:fill="1F4E6E"/>
            <w:vAlign w:val="center"/>
          </w:tcPr>
          <w:p w14:paraId="13C283FB" w14:textId="77777777" w:rsidR="00051C16" w:rsidRDefault="00000000">
            <w:pPr>
              <w:jc w:val="center"/>
            </w:pPr>
            <w:r>
              <w:rPr>
                <w:b/>
                <w:color w:val="FFFFFF"/>
                <w:sz w:val="16"/>
              </w:rPr>
              <w:t>Sequence</w:t>
            </w:r>
          </w:p>
        </w:tc>
        <w:tc>
          <w:tcPr>
            <w:tcW w:w="3888" w:type="dxa"/>
            <w:shd w:val="clear" w:color="auto" w:fill="1F4E6E"/>
            <w:vAlign w:val="center"/>
          </w:tcPr>
          <w:p w14:paraId="284DE26B" w14:textId="77777777" w:rsidR="00051C16" w:rsidRDefault="00000000">
            <w:pPr>
              <w:jc w:val="center"/>
            </w:pPr>
            <w:r>
              <w:rPr>
                <w:b/>
                <w:color w:val="FFFFFF"/>
                <w:sz w:val="16"/>
              </w:rPr>
              <w:t>Management focus</w:t>
            </w:r>
          </w:p>
        </w:tc>
        <w:tc>
          <w:tcPr>
            <w:tcW w:w="3816" w:type="dxa"/>
            <w:shd w:val="clear" w:color="auto" w:fill="1F4E6E"/>
            <w:vAlign w:val="center"/>
          </w:tcPr>
          <w:p w14:paraId="4EF3D91E" w14:textId="77777777" w:rsidR="00051C16" w:rsidRDefault="00000000">
            <w:pPr>
              <w:jc w:val="center"/>
            </w:pPr>
            <w:r>
              <w:rPr>
                <w:b/>
                <w:color w:val="FFFFFF"/>
                <w:sz w:val="16"/>
              </w:rPr>
              <w:t>Primary rationale</w:t>
            </w:r>
          </w:p>
        </w:tc>
      </w:tr>
      <w:tr w:rsidR="00051C16" w14:paraId="23582097" w14:textId="77777777">
        <w:trPr>
          <w:jc w:val="center"/>
        </w:trPr>
        <w:tc>
          <w:tcPr>
            <w:tcW w:w="1872" w:type="dxa"/>
            <w:vAlign w:val="center"/>
          </w:tcPr>
          <w:p w14:paraId="721BDBB4" w14:textId="77777777" w:rsidR="00051C16" w:rsidRDefault="00000000">
            <w:r>
              <w:rPr>
                <w:b/>
                <w:sz w:val="15"/>
              </w:rPr>
              <w:t>Immediate</w:t>
            </w:r>
          </w:p>
        </w:tc>
        <w:tc>
          <w:tcPr>
            <w:tcW w:w="3888" w:type="dxa"/>
            <w:vAlign w:val="center"/>
          </w:tcPr>
          <w:p w14:paraId="31C88AFE" w14:textId="77777777" w:rsidR="00051C16" w:rsidRPr="000752E9" w:rsidRDefault="00000000">
            <w:pPr>
              <w:rPr>
                <w:lang w:val="fr-FR"/>
              </w:rPr>
            </w:pPr>
            <w:r w:rsidRPr="000752E9">
              <w:rPr>
                <w:sz w:val="15"/>
                <w:lang w:val="fr-FR"/>
              </w:rPr>
              <w:t xml:space="preserve">Discount </w:t>
            </w:r>
            <w:proofErr w:type="spellStart"/>
            <w:r w:rsidRPr="000752E9">
              <w:rPr>
                <w:sz w:val="15"/>
                <w:lang w:val="fr-FR"/>
              </w:rPr>
              <w:t>governance</w:t>
            </w:r>
            <w:proofErr w:type="spellEnd"/>
            <w:r w:rsidRPr="000752E9">
              <w:rPr>
                <w:sz w:val="15"/>
                <w:lang w:val="fr-FR"/>
              </w:rPr>
              <w:t xml:space="preserve"> + P-SI-004/P-SI-007 investigation</w:t>
            </w:r>
          </w:p>
        </w:tc>
        <w:tc>
          <w:tcPr>
            <w:tcW w:w="3816" w:type="dxa"/>
            <w:vAlign w:val="center"/>
          </w:tcPr>
          <w:p w14:paraId="7588FCD3" w14:textId="77777777" w:rsidR="00051C16" w:rsidRDefault="00000000">
            <w:r>
              <w:rPr>
                <w:sz w:val="15"/>
              </w:rPr>
              <w:t>Largest exposure plus strongest directly benchmarked cost issue</w:t>
            </w:r>
          </w:p>
        </w:tc>
      </w:tr>
      <w:tr w:rsidR="00051C16" w14:paraId="3FF2C758" w14:textId="77777777">
        <w:trPr>
          <w:jc w:val="center"/>
        </w:trPr>
        <w:tc>
          <w:tcPr>
            <w:tcW w:w="1872" w:type="dxa"/>
            <w:shd w:val="clear" w:color="auto" w:fill="F5F7F9"/>
            <w:vAlign w:val="center"/>
          </w:tcPr>
          <w:p w14:paraId="06E7171A" w14:textId="77777777" w:rsidR="00051C16" w:rsidRDefault="00000000">
            <w:r>
              <w:rPr>
                <w:b/>
                <w:sz w:val="15"/>
              </w:rPr>
              <w:t>Near-term</w:t>
            </w:r>
          </w:p>
        </w:tc>
        <w:tc>
          <w:tcPr>
            <w:tcW w:w="3888" w:type="dxa"/>
            <w:shd w:val="clear" w:color="auto" w:fill="F5F7F9"/>
            <w:vAlign w:val="center"/>
          </w:tcPr>
          <w:p w14:paraId="6A6DF68B" w14:textId="77777777" w:rsidR="00051C16" w:rsidRDefault="00000000">
            <w:r>
              <w:rPr>
                <w:sz w:val="15"/>
              </w:rPr>
              <w:t>Software mix protection + Field Services economics review</w:t>
            </w:r>
          </w:p>
        </w:tc>
        <w:tc>
          <w:tcPr>
            <w:tcW w:w="3816" w:type="dxa"/>
            <w:shd w:val="clear" w:color="auto" w:fill="F5F7F9"/>
            <w:vAlign w:val="center"/>
          </w:tcPr>
          <w:p w14:paraId="179811E2" w14:textId="77777777" w:rsidR="00051C16" w:rsidRDefault="00000000">
            <w:r>
              <w:rPr>
                <w:sz w:val="15"/>
              </w:rPr>
              <w:t>Improve the quality and contribution of future growth</w:t>
            </w:r>
          </w:p>
        </w:tc>
      </w:tr>
      <w:tr w:rsidR="00051C16" w14:paraId="0431DFB4" w14:textId="77777777">
        <w:trPr>
          <w:jc w:val="center"/>
        </w:trPr>
        <w:tc>
          <w:tcPr>
            <w:tcW w:w="1872" w:type="dxa"/>
            <w:vAlign w:val="center"/>
          </w:tcPr>
          <w:p w14:paraId="5FD6564E" w14:textId="77777777" w:rsidR="00051C16" w:rsidRDefault="00000000">
            <w:r>
              <w:rPr>
                <w:b/>
                <w:sz w:val="15"/>
              </w:rPr>
              <w:t>Ongoing</w:t>
            </w:r>
          </w:p>
        </w:tc>
        <w:tc>
          <w:tcPr>
            <w:tcW w:w="3888" w:type="dxa"/>
            <w:vAlign w:val="center"/>
          </w:tcPr>
          <w:p w14:paraId="3CB9D849" w14:textId="77777777" w:rsidR="00051C16" w:rsidRDefault="00000000">
            <w:r>
              <w:rPr>
                <w:sz w:val="15"/>
              </w:rPr>
              <w:t>Data-quality and reporting controls</w:t>
            </w:r>
          </w:p>
        </w:tc>
        <w:tc>
          <w:tcPr>
            <w:tcW w:w="3816" w:type="dxa"/>
            <w:vAlign w:val="center"/>
          </w:tcPr>
          <w:p w14:paraId="40AB3C37" w14:textId="77777777" w:rsidR="00051C16" w:rsidRDefault="00000000">
            <w:r>
              <w:rPr>
                <w:sz w:val="15"/>
              </w:rPr>
              <w:t>Reduce recurrence and strengthen future planning / performance management</w:t>
            </w:r>
          </w:p>
        </w:tc>
      </w:tr>
    </w:tbl>
    <w:p w14:paraId="085FA814" w14:textId="77777777" w:rsidR="00051C16" w:rsidRDefault="00051C16">
      <w:pPr>
        <w:spacing w:after="20"/>
      </w:pPr>
    </w:p>
    <w:p w14:paraId="58BFB6C5" w14:textId="77777777" w:rsidR="00051C16" w:rsidRDefault="00000000">
      <w:pPr>
        <w:pStyle w:val="Heading1"/>
      </w:pPr>
      <w:r>
        <w:t>16. Limitations, Caveats &amp; Validation Requirements</w:t>
      </w:r>
    </w:p>
    <w:tbl>
      <w:tblPr>
        <w:tblStyle w:val="TableGrid"/>
        <w:tblW w:w="0" w:type="auto"/>
        <w:jc w:val="center"/>
        <w:tblLook w:val="04A0" w:firstRow="1" w:lastRow="0" w:firstColumn="1" w:lastColumn="0" w:noHBand="0" w:noVBand="1"/>
      </w:tblPr>
      <w:tblGrid>
        <w:gridCol w:w="2520"/>
        <w:gridCol w:w="4032"/>
        <w:gridCol w:w="2880"/>
      </w:tblGrid>
      <w:tr w:rsidR="00051C16" w14:paraId="60719F42" w14:textId="77777777">
        <w:trPr>
          <w:tblHeader/>
          <w:jc w:val="center"/>
        </w:trPr>
        <w:tc>
          <w:tcPr>
            <w:tcW w:w="2520" w:type="dxa"/>
            <w:shd w:val="clear" w:color="auto" w:fill="1F4E6E"/>
            <w:vAlign w:val="center"/>
          </w:tcPr>
          <w:p w14:paraId="4DD3838D" w14:textId="77777777" w:rsidR="00051C16" w:rsidRDefault="00000000">
            <w:pPr>
              <w:jc w:val="center"/>
            </w:pPr>
            <w:r>
              <w:rPr>
                <w:b/>
                <w:color w:val="FFFFFF"/>
                <w:sz w:val="16"/>
              </w:rPr>
              <w:t>Limitation</w:t>
            </w:r>
          </w:p>
        </w:tc>
        <w:tc>
          <w:tcPr>
            <w:tcW w:w="4032" w:type="dxa"/>
            <w:shd w:val="clear" w:color="auto" w:fill="1F4E6E"/>
            <w:vAlign w:val="center"/>
          </w:tcPr>
          <w:p w14:paraId="466A85D9" w14:textId="77777777" w:rsidR="00051C16" w:rsidRDefault="00000000">
            <w:pPr>
              <w:jc w:val="center"/>
            </w:pPr>
            <w:r>
              <w:rPr>
                <w:b/>
                <w:color w:val="FFFFFF"/>
                <w:sz w:val="16"/>
              </w:rPr>
              <w:t>Effect on analysis</w:t>
            </w:r>
          </w:p>
        </w:tc>
        <w:tc>
          <w:tcPr>
            <w:tcW w:w="2880" w:type="dxa"/>
            <w:shd w:val="clear" w:color="auto" w:fill="1F4E6E"/>
            <w:vAlign w:val="center"/>
          </w:tcPr>
          <w:p w14:paraId="7F9DB690" w14:textId="77777777" w:rsidR="00051C16" w:rsidRDefault="00000000">
            <w:pPr>
              <w:jc w:val="center"/>
            </w:pPr>
            <w:r>
              <w:rPr>
                <w:b/>
                <w:color w:val="FFFFFF"/>
                <w:sz w:val="16"/>
              </w:rPr>
              <w:t>Required validation</w:t>
            </w:r>
          </w:p>
        </w:tc>
      </w:tr>
      <w:tr w:rsidR="00051C16" w14:paraId="6D9AAA0A" w14:textId="77777777">
        <w:trPr>
          <w:jc w:val="center"/>
        </w:trPr>
        <w:tc>
          <w:tcPr>
            <w:tcW w:w="2520" w:type="dxa"/>
            <w:vAlign w:val="center"/>
          </w:tcPr>
          <w:p w14:paraId="01F78504" w14:textId="77777777" w:rsidR="00051C16" w:rsidRDefault="00000000">
            <w:r>
              <w:rPr>
                <w:b/>
                <w:sz w:val="15"/>
              </w:rPr>
              <w:t>Missing / unusable transaction dates</w:t>
            </w:r>
          </w:p>
        </w:tc>
        <w:tc>
          <w:tcPr>
            <w:tcW w:w="4032" w:type="dxa"/>
            <w:vAlign w:val="center"/>
          </w:tcPr>
          <w:p w14:paraId="0FB69C5C" w14:textId="77777777" w:rsidR="00051C16" w:rsidRDefault="00000000">
            <w:r>
              <w:rPr>
                <w:sz w:val="15"/>
              </w:rPr>
              <w:t>Records excluded from H1 analytical population</w:t>
            </w:r>
          </w:p>
        </w:tc>
        <w:tc>
          <w:tcPr>
            <w:tcW w:w="2880" w:type="dxa"/>
            <w:vAlign w:val="center"/>
          </w:tcPr>
          <w:p w14:paraId="6B9927D9" w14:textId="77777777" w:rsidR="00051C16" w:rsidRDefault="00000000">
            <w:r>
              <w:rPr>
                <w:sz w:val="15"/>
              </w:rPr>
              <w:t>Confirm source-system date completeness if historical totals are required</w:t>
            </w:r>
          </w:p>
        </w:tc>
      </w:tr>
      <w:tr w:rsidR="00051C16" w14:paraId="1561119F" w14:textId="77777777">
        <w:trPr>
          <w:jc w:val="center"/>
        </w:trPr>
        <w:tc>
          <w:tcPr>
            <w:tcW w:w="2520" w:type="dxa"/>
            <w:shd w:val="clear" w:color="auto" w:fill="F5F7F9"/>
            <w:vAlign w:val="center"/>
          </w:tcPr>
          <w:p w14:paraId="617A255C" w14:textId="77777777" w:rsidR="00051C16" w:rsidRDefault="00000000">
            <w:r>
              <w:rPr>
                <w:b/>
                <w:sz w:val="15"/>
              </w:rPr>
              <w:t>Unmatched CustomerID / ProductID</w:t>
            </w:r>
          </w:p>
        </w:tc>
        <w:tc>
          <w:tcPr>
            <w:tcW w:w="4032" w:type="dxa"/>
            <w:shd w:val="clear" w:color="auto" w:fill="F5F7F9"/>
            <w:vAlign w:val="center"/>
          </w:tcPr>
          <w:p w14:paraId="25F831A2" w14:textId="77777777" w:rsidR="00051C16" w:rsidRDefault="00000000">
            <w:r>
              <w:rPr>
                <w:sz w:val="15"/>
              </w:rPr>
              <w:t>Overall financial contribution may remain, but reliable dimension attribution is restricted</w:t>
            </w:r>
          </w:p>
        </w:tc>
        <w:tc>
          <w:tcPr>
            <w:tcW w:w="2880" w:type="dxa"/>
            <w:shd w:val="clear" w:color="auto" w:fill="F5F7F9"/>
            <w:vAlign w:val="center"/>
          </w:tcPr>
          <w:p w14:paraId="3D94ED51" w14:textId="77777777" w:rsidR="00051C16" w:rsidRDefault="00000000">
            <w:r>
              <w:rPr>
                <w:sz w:val="15"/>
              </w:rPr>
              <w:t>Resolve master-data linkage in source systems</w:t>
            </w:r>
          </w:p>
        </w:tc>
      </w:tr>
      <w:tr w:rsidR="00051C16" w14:paraId="5418AF56" w14:textId="77777777">
        <w:trPr>
          <w:jc w:val="center"/>
        </w:trPr>
        <w:tc>
          <w:tcPr>
            <w:tcW w:w="2520" w:type="dxa"/>
            <w:vAlign w:val="center"/>
          </w:tcPr>
          <w:p w14:paraId="47EDC865" w14:textId="77777777" w:rsidR="00051C16" w:rsidRDefault="00000000">
            <w:r>
              <w:rPr>
                <w:b/>
                <w:sz w:val="15"/>
              </w:rPr>
              <w:t>Negative quantity records</w:t>
            </w:r>
          </w:p>
        </w:tc>
        <w:tc>
          <w:tcPr>
            <w:tcW w:w="4032" w:type="dxa"/>
            <w:vAlign w:val="center"/>
          </w:tcPr>
          <w:p w14:paraId="082D970C" w14:textId="77777777" w:rsidR="00051C16" w:rsidRDefault="00000000">
            <w:r>
              <w:rPr>
                <w:sz w:val="15"/>
              </w:rPr>
              <w:t>Business meaning could not be established confidently</w:t>
            </w:r>
          </w:p>
        </w:tc>
        <w:tc>
          <w:tcPr>
            <w:tcW w:w="2880" w:type="dxa"/>
            <w:vAlign w:val="center"/>
          </w:tcPr>
          <w:p w14:paraId="58085E5B" w14:textId="77777777" w:rsidR="00051C16" w:rsidRDefault="00000000">
            <w:r>
              <w:rPr>
                <w:sz w:val="15"/>
              </w:rPr>
              <w:t>Validate against returns, credit notes, or adjustment processes</w:t>
            </w:r>
          </w:p>
        </w:tc>
      </w:tr>
      <w:tr w:rsidR="00051C16" w14:paraId="5E077DB9" w14:textId="77777777">
        <w:trPr>
          <w:jc w:val="center"/>
        </w:trPr>
        <w:tc>
          <w:tcPr>
            <w:tcW w:w="2520" w:type="dxa"/>
            <w:shd w:val="clear" w:color="auto" w:fill="F5F7F9"/>
            <w:vAlign w:val="center"/>
          </w:tcPr>
          <w:p w14:paraId="520B4DC2" w14:textId="77777777" w:rsidR="00051C16" w:rsidRDefault="00000000">
            <w:r>
              <w:rPr>
                <w:b/>
                <w:sz w:val="15"/>
              </w:rPr>
              <w:t>Imputed cost observations</w:t>
            </w:r>
          </w:p>
        </w:tc>
        <w:tc>
          <w:tcPr>
            <w:tcW w:w="4032" w:type="dxa"/>
            <w:shd w:val="clear" w:color="auto" w:fill="F5F7F9"/>
            <w:vAlign w:val="center"/>
          </w:tcPr>
          <w:p w14:paraId="16B2EB50" w14:textId="77777777" w:rsidR="00051C16" w:rsidRDefault="00000000">
            <w:r>
              <w:rPr>
                <w:sz w:val="15"/>
              </w:rPr>
              <w:t>Adds uncertainty to affected product-level cost/profitability results</w:t>
            </w:r>
          </w:p>
        </w:tc>
        <w:tc>
          <w:tcPr>
            <w:tcW w:w="2880" w:type="dxa"/>
            <w:shd w:val="clear" w:color="auto" w:fill="F5F7F9"/>
            <w:vAlign w:val="center"/>
          </w:tcPr>
          <w:p w14:paraId="68FA1BC0" w14:textId="77777777" w:rsidR="00051C16" w:rsidRDefault="00000000">
            <w:r>
              <w:rPr>
                <w:sz w:val="15"/>
              </w:rPr>
              <w:t>Validate against operational/accounting cost records</w:t>
            </w:r>
          </w:p>
        </w:tc>
      </w:tr>
      <w:tr w:rsidR="00051C16" w14:paraId="632E4983" w14:textId="77777777">
        <w:trPr>
          <w:jc w:val="center"/>
        </w:trPr>
        <w:tc>
          <w:tcPr>
            <w:tcW w:w="2520" w:type="dxa"/>
            <w:vAlign w:val="center"/>
          </w:tcPr>
          <w:p w14:paraId="606F0E67" w14:textId="77777777" w:rsidR="00051C16" w:rsidRDefault="00000000">
            <w:r>
              <w:rPr>
                <w:b/>
                <w:sz w:val="15"/>
              </w:rPr>
              <w:t>Discount interpretation</w:t>
            </w:r>
          </w:p>
        </w:tc>
        <w:tc>
          <w:tcPr>
            <w:tcW w:w="4032" w:type="dxa"/>
            <w:vAlign w:val="center"/>
          </w:tcPr>
          <w:p w14:paraId="1F886A59" w14:textId="77777777" w:rsidR="00051C16" w:rsidRDefault="00000000">
            <w:r>
              <w:rPr>
                <w:sz w:val="15"/>
              </w:rPr>
              <w:t>~$510.8K is exposure, not proven excessive discounting</w:t>
            </w:r>
          </w:p>
        </w:tc>
        <w:tc>
          <w:tcPr>
            <w:tcW w:w="2880" w:type="dxa"/>
            <w:vAlign w:val="center"/>
          </w:tcPr>
          <w:p w14:paraId="4F64A582" w14:textId="77777777" w:rsidR="00051C16" w:rsidRDefault="00000000">
            <w:r>
              <w:rPr>
                <w:sz w:val="15"/>
              </w:rPr>
              <w:t>Establish approved target / guardrail by channel/customer/product</w:t>
            </w:r>
          </w:p>
        </w:tc>
      </w:tr>
      <w:tr w:rsidR="00051C16" w14:paraId="4AD3238E" w14:textId="77777777">
        <w:trPr>
          <w:jc w:val="center"/>
        </w:trPr>
        <w:tc>
          <w:tcPr>
            <w:tcW w:w="2520" w:type="dxa"/>
            <w:shd w:val="clear" w:color="auto" w:fill="F5F7F9"/>
            <w:vAlign w:val="center"/>
          </w:tcPr>
          <w:p w14:paraId="01C705E7" w14:textId="77777777" w:rsidR="00051C16" w:rsidRDefault="00000000">
            <w:r>
              <w:rPr>
                <w:b/>
                <w:sz w:val="15"/>
              </w:rPr>
              <w:t>Budget comparability</w:t>
            </w:r>
          </w:p>
        </w:tc>
        <w:tc>
          <w:tcPr>
            <w:tcW w:w="4032" w:type="dxa"/>
            <w:shd w:val="clear" w:color="auto" w:fill="F5F7F9"/>
            <w:vAlign w:val="center"/>
          </w:tcPr>
          <w:p w14:paraId="4B3A2431" w14:textId="77777777" w:rsidR="00051C16" w:rsidRDefault="00000000">
            <w:r>
              <w:rPr>
                <w:sz w:val="15"/>
              </w:rPr>
              <w:t>Some actual-vs-budget conclusions are less reliable</w:t>
            </w:r>
          </w:p>
        </w:tc>
        <w:tc>
          <w:tcPr>
            <w:tcW w:w="2880" w:type="dxa"/>
            <w:shd w:val="clear" w:color="auto" w:fill="F5F7F9"/>
            <w:vAlign w:val="center"/>
          </w:tcPr>
          <w:p w14:paraId="108B4B44" w14:textId="77777777" w:rsidR="00051C16" w:rsidRDefault="00000000">
            <w:r>
              <w:rPr>
                <w:sz w:val="15"/>
              </w:rPr>
              <w:t>Reconcile budget and actual dimensions at the approved reporting grain</w:t>
            </w:r>
          </w:p>
        </w:tc>
      </w:tr>
      <w:tr w:rsidR="00051C16" w14:paraId="17BFBE1A" w14:textId="77777777">
        <w:trPr>
          <w:jc w:val="center"/>
        </w:trPr>
        <w:tc>
          <w:tcPr>
            <w:tcW w:w="2520" w:type="dxa"/>
            <w:vAlign w:val="center"/>
          </w:tcPr>
          <w:p w14:paraId="2107CCBD" w14:textId="77777777" w:rsidR="00051C16" w:rsidRDefault="00000000">
            <w:r>
              <w:rPr>
                <w:b/>
                <w:sz w:val="15"/>
              </w:rPr>
              <w:t>Operating profit approximation</w:t>
            </w:r>
          </w:p>
        </w:tc>
        <w:tc>
          <w:tcPr>
            <w:tcW w:w="4032" w:type="dxa"/>
            <w:vAlign w:val="center"/>
          </w:tcPr>
          <w:p w14:paraId="43463372" w14:textId="77777777" w:rsidR="00051C16" w:rsidRDefault="00000000">
            <w:r>
              <w:rPr>
                <w:sz w:val="15"/>
              </w:rPr>
              <w:t>Available cost structure supports contribution analysis more directly than fully allocated operating profit</w:t>
            </w:r>
          </w:p>
        </w:tc>
        <w:tc>
          <w:tcPr>
            <w:tcW w:w="2880" w:type="dxa"/>
            <w:vAlign w:val="center"/>
          </w:tcPr>
          <w:p w14:paraId="77306C82" w14:textId="77777777" w:rsidR="00051C16" w:rsidRDefault="00000000">
            <w:r>
              <w:rPr>
                <w:sz w:val="15"/>
              </w:rPr>
              <w:t>Validate fixed-cost allocation and accounting treatment before formal reporting</w:t>
            </w:r>
          </w:p>
        </w:tc>
      </w:tr>
      <w:tr w:rsidR="00051C16" w14:paraId="69513157" w14:textId="77777777">
        <w:trPr>
          <w:jc w:val="center"/>
        </w:trPr>
        <w:tc>
          <w:tcPr>
            <w:tcW w:w="2520" w:type="dxa"/>
            <w:shd w:val="clear" w:color="auto" w:fill="F5F7F9"/>
            <w:vAlign w:val="center"/>
          </w:tcPr>
          <w:p w14:paraId="31EC9D20" w14:textId="77777777" w:rsidR="00051C16" w:rsidRDefault="00000000">
            <w:r>
              <w:rPr>
                <w:b/>
                <w:sz w:val="15"/>
              </w:rPr>
              <w:t>Field Services ~ $44K opportunity</w:t>
            </w:r>
          </w:p>
        </w:tc>
        <w:tc>
          <w:tcPr>
            <w:tcW w:w="4032" w:type="dxa"/>
            <w:shd w:val="clear" w:color="auto" w:fill="F5F7F9"/>
            <w:vAlign w:val="center"/>
          </w:tcPr>
          <w:p w14:paraId="5D549882" w14:textId="77777777" w:rsidR="00051C16" w:rsidRDefault="00000000">
            <w:r>
              <w:rPr>
                <w:sz w:val="15"/>
              </w:rPr>
              <w:t>Illustrative benchmark, not confirmed loss</w:t>
            </w:r>
          </w:p>
        </w:tc>
        <w:tc>
          <w:tcPr>
            <w:tcW w:w="2880" w:type="dxa"/>
            <w:shd w:val="clear" w:color="auto" w:fill="F5F7F9"/>
            <w:vAlign w:val="center"/>
          </w:tcPr>
          <w:p w14:paraId="116BA2CC" w14:textId="77777777" w:rsidR="00051C16" w:rsidRDefault="00000000">
            <w:r>
              <w:rPr>
                <w:sz w:val="15"/>
              </w:rPr>
              <w:t>Validate service pricing, labor utilization, and benchmark definition</w:t>
            </w:r>
          </w:p>
        </w:tc>
      </w:tr>
    </w:tbl>
    <w:p w14:paraId="6ADED083" w14:textId="77777777" w:rsidR="00051C16" w:rsidRDefault="00051C16">
      <w:pPr>
        <w:spacing w:after="20"/>
      </w:pPr>
    </w:p>
    <w:tbl>
      <w:tblPr>
        <w:tblStyle w:val="TableGrid"/>
        <w:tblW w:w="0" w:type="auto"/>
        <w:jc w:val="center"/>
        <w:tblLook w:val="04A0" w:firstRow="1" w:lastRow="0" w:firstColumn="1" w:lastColumn="0" w:noHBand="0" w:noVBand="1"/>
      </w:tblPr>
      <w:tblGrid>
        <w:gridCol w:w="10166"/>
      </w:tblGrid>
      <w:tr w:rsidR="00051C16" w14:paraId="63B849BC" w14:textId="77777777">
        <w:trPr>
          <w:tblHeader/>
          <w:jc w:val="center"/>
        </w:trPr>
        <w:tc>
          <w:tcPr>
            <w:tcW w:w="10166" w:type="dxa"/>
            <w:shd w:val="clear" w:color="auto" w:fill="F5F7F9"/>
          </w:tcPr>
          <w:p w14:paraId="00F21FBD" w14:textId="77777777" w:rsidR="00051C16" w:rsidRDefault="00000000">
            <w:pPr>
              <w:spacing w:after="40"/>
            </w:pPr>
            <w:r>
              <w:rPr>
                <w:b/>
                <w:color w:val="1F4E6E"/>
              </w:rPr>
              <w:t>Interpretation rule</w:t>
            </w:r>
            <w:r>
              <w:rPr>
                <w:sz w:val="17"/>
              </w:rPr>
              <w:t xml:space="preserve">  The analysis is decision-support work. The strongest findings are those supported by validated calculations and explicit benchmarks; other amounts must be treated according to their evidence class.</w:t>
            </w:r>
          </w:p>
        </w:tc>
      </w:tr>
    </w:tbl>
    <w:p w14:paraId="2FF1945B" w14:textId="77777777" w:rsidR="00051C16" w:rsidRDefault="00051C16">
      <w:pPr>
        <w:spacing w:after="20"/>
      </w:pPr>
    </w:p>
    <w:p w14:paraId="61D52AF1" w14:textId="77777777" w:rsidR="00051C16" w:rsidRDefault="00000000">
      <w:pPr>
        <w:pStyle w:val="Heading1"/>
      </w:pPr>
      <w:r>
        <w:t>17. Final Conclusion</w:t>
      </w:r>
    </w:p>
    <w:p w14:paraId="49DD4F1E" w14:textId="77777777" w:rsidR="00051C16" w:rsidRDefault="00000000">
      <w:r>
        <w:t xml:space="preserve">The H1 2025 analysis demonstrates that Aether Precision Systems can show strong revenue performance while still experiencing weaker-than-desired profitability economics. The gap is not a single-cause problem. It is the combined effect of revenue realization, </w:t>
      </w:r>
      <w:r>
        <w:lastRenderedPageBreak/>
        <w:t>product cost pressure, business-unit economics, and sales mix, with data-quality limitations affecting the confidence of some detailed comparisons.</w:t>
      </w:r>
    </w:p>
    <w:p w14:paraId="4A311D7F" w14:textId="77777777" w:rsidR="00051C16" w:rsidRDefault="00000000">
      <w:r>
        <w:t>The largest quantified financial exposure is the approximately $510.8K of Distributor and Strategic discounting. This should be treated as revenue exposure rather than confirmed profit loss. The strongest directly benchmarked cost problem is the approximately $49.5K actual-vs-standard overrun across P-SI-004 and P-SI-007. The approximately $44K Field Services figure is a directional improvement opportunity, not a realized loss.</w:t>
      </w:r>
    </w:p>
    <w:p w14:paraId="594564AE" w14:textId="77777777" w:rsidR="00051C16" w:rsidRDefault="00000000">
      <w:r>
        <w:t>The strongest value-creation opportunity identified in the analysis is the high contribution economics of Software &amp; Analytics at approximately 95.08%, while Field Services at approximately 37.97% warrants a closer review of pricing, utilization, and cost structure.</w:t>
      </w:r>
    </w:p>
    <w:p w14:paraId="5634555B" w14:textId="77777777" w:rsidR="00051C16" w:rsidRDefault="00000000">
      <w:r>
        <w:t>The project also demonstrates that financial analytics quality depends on data-quality discipline. Several exceptions required explicit judgment, and the analysis deliberately avoided treating every anomaly as an error.</w:t>
      </w:r>
    </w:p>
    <w:tbl>
      <w:tblPr>
        <w:tblStyle w:val="TableGrid"/>
        <w:tblW w:w="0" w:type="auto"/>
        <w:jc w:val="center"/>
        <w:tblLook w:val="04A0" w:firstRow="1" w:lastRow="0" w:firstColumn="1" w:lastColumn="0" w:noHBand="0" w:noVBand="1"/>
      </w:tblPr>
      <w:tblGrid>
        <w:gridCol w:w="10166"/>
      </w:tblGrid>
      <w:tr w:rsidR="00051C16" w14:paraId="1F1F5174" w14:textId="77777777">
        <w:trPr>
          <w:tblHeader/>
          <w:jc w:val="center"/>
        </w:trPr>
        <w:tc>
          <w:tcPr>
            <w:tcW w:w="10166" w:type="dxa"/>
            <w:shd w:val="clear" w:color="auto" w:fill="EAF2F8"/>
          </w:tcPr>
          <w:p w14:paraId="30BB5E59" w14:textId="77777777" w:rsidR="00051C16" w:rsidRDefault="00000000">
            <w:pPr>
              <w:spacing w:after="40"/>
            </w:pPr>
            <w:r>
              <w:rPr>
                <w:b/>
                <w:color w:val="1F4E6E"/>
              </w:rPr>
              <w:t>Final FP&amp;A message</w:t>
            </w:r>
            <w:r>
              <w:rPr>
                <w:sz w:val="17"/>
              </w:rPr>
              <w:t xml:space="preserve">  Strong revenue growth is valuable only when it translates into sustainable and economically attractive profitability. Management attention should therefore focus on revenue quality, cost discipline, high-margin mix, and reliable reporting.</w:t>
            </w:r>
          </w:p>
        </w:tc>
      </w:tr>
    </w:tbl>
    <w:p w14:paraId="0F848FCF" w14:textId="77777777" w:rsidR="00051C16" w:rsidRDefault="00051C16">
      <w:pPr>
        <w:spacing w:after="20"/>
      </w:pPr>
    </w:p>
    <w:p w14:paraId="6B8DA24E" w14:textId="77777777" w:rsidR="00051C16" w:rsidRDefault="00000000">
      <w:r>
        <w:br w:type="page"/>
      </w:r>
    </w:p>
    <w:p w14:paraId="33988DB0" w14:textId="77777777" w:rsidR="00051C16" w:rsidRDefault="00000000">
      <w:pPr>
        <w:pStyle w:val="Heading1"/>
      </w:pPr>
      <w:r>
        <w:lastRenderedPageBreak/>
        <w:t>Appendix A - Workstream Evidence Matrix</w:t>
      </w:r>
    </w:p>
    <w:tbl>
      <w:tblPr>
        <w:tblStyle w:val="TableGrid"/>
        <w:tblW w:w="0" w:type="auto"/>
        <w:jc w:val="center"/>
        <w:tblLook w:val="04A0" w:firstRow="1" w:lastRow="0" w:firstColumn="1" w:lastColumn="0" w:noHBand="0" w:noVBand="1"/>
      </w:tblPr>
      <w:tblGrid>
        <w:gridCol w:w="576"/>
        <w:gridCol w:w="2520"/>
        <w:gridCol w:w="3888"/>
        <w:gridCol w:w="2952"/>
      </w:tblGrid>
      <w:tr w:rsidR="00051C16" w14:paraId="42856034" w14:textId="77777777">
        <w:trPr>
          <w:tblHeader/>
          <w:jc w:val="center"/>
        </w:trPr>
        <w:tc>
          <w:tcPr>
            <w:tcW w:w="576" w:type="dxa"/>
            <w:shd w:val="clear" w:color="auto" w:fill="1F4E6E"/>
            <w:vAlign w:val="center"/>
          </w:tcPr>
          <w:p w14:paraId="7E805C72" w14:textId="77777777" w:rsidR="00051C16" w:rsidRDefault="00000000">
            <w:pPr>
              <w:jc w:val="center"/>
            </w:pPr>
            <w:r>
              <w:rPr>
                <w:b/>
                <w:color w:val="FFFFFF"/>
                <w:sz w:val="16"/>
              </w:rPr>
              <w:t>WS</w:t>
            </w:r>
          </w:p>
        </w:tc>
        <w:tc>
          <w:tcPr>
            <w:tcW w:w="2520" w:type="dxa"/>
            <w:shd w:val="clear" w:color="auto" w:fill="1F4E6E"/>
            <w:vAlign w:val="center"/>
          </w:tcPr>
          <w:p w14:paraId="1D677482" w14:textId="77777777" w:rsidR="00051C16" w:rsidRDefault="00000000">
            <w:pPr>
              <w:jc w:val="center"/>
            </w:pPr>
            <w:r>
              <w:rPr>
                <w:b/>
                <w:color w:val="FFFFFF"/>
                <w:sz w:val="16"/>
              </w:rPr>
              <w:t>Question</w:t>
            </w:r>
          </w:p>
        </w:tc>
        <w:tc>
          <w:tcPr>
            <w:tcW w:w="3888" w:type="dxa"/>
            <w:shd w:val="clear" w:color="auto" w:fill="1F4E6E"/>
            <w:vAlign w:val="center"/>
          </w:tcPr>
          <w:p w14:paraId="24ED52B4" w14:textId="77777777" w:rsidR="00051C16" w:rsidRDefault="00000000">
            <w:pPr>
              <w:jc w:val="center"/>
            </w:pPr>
            <w:r>
              <w:rPr>
                <w:b/>
                <w:color w:val="FFFFFF"/>
                <w:sz w:val="16"/>
              </w:rPr>
              <w:t>Primary evidence</w:t>
            </w:r>
          </w:p>
        </w:tc>
        <w:tc>
          <w:tcPr>
            <w:tcW w:w="2952" w:type="dxa"/>
            <w:shd w:val="clear" w:color="auto" w:fill="1F4E6E"/>
            <w:vAlign w:val="center"/>
          </w:tcPr>
          <w:p w14:paraId="3F8A9510" w14:textId="77777777" w:rsidR="00051C16" w:rsidRDefault="00000000">
            <w:pPr>
              <w:jc w:val="center"/>
            </w:pPr>
            <w:r>
              <w:rPr>
                <w:b/>
                <w:color w:val="FFFFFF"/>
                <w:sz w:val="16"/>
              </w:rPr>
              <w:t>Conclusion</w:t>
            </w:r>
          </w:p>
        </w:tc>
      </w:tr>
      <w:tr w:rsidR="00051C16" w14:paraId="4BED822C" w14:textId="77777777">
        <w:trPr>
          <w:jc w:val="center"/>
        </w:trPr>
        <w:tc>
          <w:tcPr>
            <w:tcW w:w="576" w:type="dxa"/>
            <w:vAlign w:val="center"/>
          </w:tcPr>
          <w:p w14:paraId="11C8791E" w14:textId="77777777" w:rsidR="00051C16" w:rsidRDefault="00000000">
            <w:r>
              <w:rPr>
                <w:b/>
                <w:sz w:val="15"/>
              </w:rPr>
              <w:t>1</w:t>
            </w:r>
          </w:p>
        </w:tc>
        <w:tc>
          <w:tcPr>
            <w:tcW w:w="2520" w:type="dxa"/>
            <w:vAlign w:val="center"/>
          </w:tcPr>
          <w:p w14:paraId="52DB3FA6" w14:textId="77777777" w:rsidR="00051C16" w:rsidRDefault="00000000">
            <w:r>
              <w:rPr>
                <w:sz w:val="15"/>
              </w:rPr>
              <w:t>Is the data reliable enough?</w:t>
            </w:r>
          </w:p>
        </w:tc>
        <w:tc>
          <w:tcPr>
            <w:tcW w:w="3888" w:type="dxa"/>
            <w:vAlign w:val="center"/>
          </w:tcPr>
          <w:p w14:paraId="4025B5A5" w14:textId="77777777" w:rsidR="00051C16" w:rsidRDefault="00000000">
            <w:r>
              <w:rPr>
                <w:sz w:val="15"/>
              </w:rPr>
              <w:t>Cleaning log, key validation, exception treatment</w:t>
            </w:r>
          </w:p>
        </w:tc>
        <w:tc>
          <w:tcPr>
            <w:tcW w:w="2952" w:type="dxa"/>
            <w:vAlign w:val="center"/>
          </w:tcPr>
          <w:p w14:paraId="01B65BD4" w14:textId="77777777" w:rsidR="00051C16" w:rsidRDefault="00000000">
            <w:r>
              <w:rPr>
                <w:sz w:val="15"/>
              </w:rPr>
              <w:t>Yes for structured analysis, with residual risks documented</w:t>
            </w:r>
          </w:p>
        </w:tc>
      </w:tr>
      <w:tr w:rsidR="00051C16" w14:paraId="7BD4F66F" w14:textId="77777777">
        <w:trPr>
          <w:jc w:val="center"/>
        </w:trPr>
        <w:tc>
          <w:tcPr>
            <w:tcW w:w="576" w:type="dxa"/>
            <w:shd w:val="clear" w:color="auto" w:fill="F5F7F9"/>
            <w:vAlign w:val="center"/>
          </w:tcPr>
          <w:p w14:paraId="71A7A7A1" w14:textId="77777777" w:rsidR="00051C16" w:rsidRDefault="00000000">
            <w:r>
              <w:rPr>
                <w:b/>
                <w:sz w:val="15"/>
              </w:rPr>
              <w:t>2</w:t>
            </w:r>
          </w:p>
        </w:tc>
        <w:tc>
          <w:tcPr>
            <w:tcW w:w="2520" w:type="dxa"/>
            <w:shd w:val="clear" w:color="auto" w:fill="F5F7F9"/>
            <w:vAlign w:val="center"/>
          </w:tcPr>
          <w:p w14:paraId="47D6AD92" w14:textId="77777777" w:rsidR="00051C16" w:rsidRDefault="00000000">
            <w:r>
              <w:rPr>
                <w:sz w:val="15"/>
              </w:rPr>
              <w:t>Where is revenue coming from?</w:t>
            </w:r>
          </w:p>
        </w:tc>
        <w:tc>
          <w:tcPr>
            <w:tcW w:w="3888" w:type="dxa"/>
            <w:shd w:val="clear" w:color="auto" w:fill="F5F7F9"/>
            <w:vAlign w:val="center"/>
          </w:tcPr>
          <w:p w14:paraId="11CD8B0A" w14:textId="77777777" w:rsidR="00051C16" w:rsidRDefault="00000000">
            <w:r>
              <w:rPr>
                <w:sz w:val="15"/>
              </w:rPr>
              <w:t>H1 revenue bridge and BU contribution</w:t>
            </w:r>
          </w:p>
        </w:tc>
        <w:tc>
          <w:tcPr>
            <w:tcW w:w="2952" w:type="dxa"/>
            <w:shd w:val="clear" w:color="auto" w:fill="F5F7F9"/>
            <w:vAlign w:val="center"/>
          </w:tcPr>
          <w:p w14:paraId="155BBFAC" w14:textId="77777777" w:rsidR="00051C16" w:rsidRDefault="00000000">
            <w:r>
              <w:rPr>
                <w:sz w:val="15"/>
              </w:rPr>
              <w:t>Sensors &amp; Instruments = 57.59% of Net Revenue; mix matters</w:t>
            </w:r>
          </w:p>
        </w:tc>
      </w:tr>
      <w:tr w:rsidR="00051C16" w14:paraId="274EA958" w14:textId="77777777">
        <w:trPr>
          <w:jc w:val="center"/>
        </w:trPr>
        <w:tc>
          <w:tcPr>
            <w:tcW w:w="576" w:type="dxa"/>
            <w:vAlign w:val="center"/>
          </w:tcPr>
          <w:p w14:paraId="33FEEF12" w14:textId="77777777" w:rsidR="00051C16" w:rsidRDefault="00000000">
            <w:r>
              <w:rPr>
                <w:b/>
                <w:sz w:val="15"/>
              </w:rPr>
              <w:t>3</w:t>
            </w:r>
          </w:p>
        </w:tc>
        <w:tc>
          <w:tcPr>
            <w:tcW w:w="2520" w:type="dxa"/>
            <w:vAlign w:val="center"/>
          </w:tcPr>
          <w:p w14:paraId="56264AFF" w14:textId="77777777" w:rsidR="00051C16" w:rsidRDefault="00000000">
            <w:r>
              <w:rPr>
                <w:sz w:val="15"/>
              </w:rPr>
              <w:t>Where is revenue diluted?</w:t>
            </w:r>
          </w:p>
        </w:tc>
        <w:tc>
          <w:tcPr>
            <w:tcW w:w="3888" w:type="dxa"/>
            <w:vAlign w:val="center"/>
          </w:tcPr>
          <w:p w14:paraId="16180117" w14:textId="77777777" w:rsidR="00051C16" w:rsidRDefault="00000000">
            <w:r>
              <w:rPr>
                <w:sz w:val="15"/>
              </w:rPr>
              <w:t>Gross-to-net bridge and discount analysis</w:t>
            </w:r>
          </w:p>
        </w:tc>
        <w:tc>
          <w:tcPr>
            <w:tcW w:w="2952" w:type="dxa"/>
            <w:vAlign w:val="center"/>
          </w:tcPr>
          <w:p w14:paraId="31EE8AC6" w14:textId="77777777" w:rsidR="00051C16" w:rsidRDefault="00000000">
            <w:r>
              <w:rPr>
                <w:sz w:val="15"/>
              </w:rPr>
              <w:t>14.66% overall; ~ $510.8K Distributor + Strategic exposure</w:t>
            </w:r>
          </w:p>
        </w:tc>
      </w:tr>
      <w:tr w:rsidR="00051C16" w:rsidRPr="000752E9" w14:paraId="01AB6F6C" w14:textId="77777777">
        <w:trPr>
          <w:jc w:val="center"/>
        </w:trPr>
        <w:tc>
          <w:tcPr>
            <w:tcW w:w="576" w:type="dxa"/>
            <w:shd w:val="clear" w:color="auto" w:fill="F5F7F9"/>
            <w:vAlign w:val="center"/>
          </w:tcPr>
          <w:p w14:paraId="0FC35F87" w14:textId="77777777" w:rsidR="00051C16" w:rsidRDefault="00000000">
            <w:r>
              <w:rPr>
                <w:b/>
                <w:sz w:val="15"/>
              </w:rPr>
              <w:t>4</w:t>
            </w:r>
          </w:p>
        </w:tc>
        <w:tc>
          <w:tcPr>
            <w:tcW w:w="2520" w:type="dxa"/>
            <w:shd w:val="clear" w:color="auto" w:fill="F5F7F9"/>
            <w:vAlign w:val="center"/>
          </w:tcPr>
          <w:p w14:paraId="55346741" w14:textId="77777777" w:rsidR="00051C16" w:rsidRDefault="00000000">
            <w:r>
              <w:rPr>
                <w:sz w:val="15"/>
              </w:rPr>
              <w:t>Where are costs pressured?</w:t>
            </w:r>
          </w:p>
        </w:tc>
        <w:tc>
          <w:tcPr>
            <w:tcW w:w="3888" w:type="dxa"/>
            <w:shd w:val="clear" w:color="auto" w:fill="F5F7F9"/>
            <w:vAlign w:val="center"/>
          </w:tcPr>
          <w:p w14:paraId="5669FEB4" w14:textId="77777777" w:rsidR="00051C16" w:rsidRDefault="00000000">
            <w:r>
              <w:rPr>
                <w:sz w:val="15"/>
              </w:rPr>
              <w:t>Actual-vs-standard product cost analysis</w:t>
            </w:r>
          </w:p>
        </w:tc>
        <w:tc>
          <w:tcPr>
            <w:tcW w:w="2952" w:type="dxa"/>
            <w:shd w:val="clear" w:color="auto" w:fill="F5F7F9"/>
            <w:vAlign w:val="center"/>
          </w:tcPr>
          <w:p w14:paraId="3B5D3448" w14:textId="77777777" w:rsidR="00051C16" w:rsidRPr="000752E9" w:rsidRDefault="00000000">
            <w:pPr>
              <w:rPr>
                <w:lang w:val="fr-FR"/>
              </w:rPr>
            </w:pPr>
            <w:r w:rsidRPr="000752E9">
              <w:rPr>
                <w:sz w:val="15"/>
                <w:lang w:val="fr-FR"/>
              </w:rPr>
              <w:t xml:space="preserve">~ $49.5K P-SI-004 + P-SI-007 </w:t>
            </w:r>
            <w:proofErr w:type="spellStart"/>
            <w:r w:rsidRPr="000752E9">
              <w:rPr>
                <w:sz w:val="15"/>
                <w:lang w:val="fr-FR"/>
              </w:rPr>
              <w:t>overrun</w:t>
            </w:r>
            <w:proofErr w:type="spellEnd"/>
          </w:p>
        </w:tc>
      </w:tr>
      <w:tr w:rsidR="00051C16" w14:paraId="0AC84313" w14:textId="77777777">
        <w:trPr>
          <w:jc w:val="center"/>
        </w:trPr>
        <w:tc>
          <w:tcPr>
            <w:tcW w:w="576" w:type="dxa"/>
            <w:vAlign w:val="center"/>
          </w:tcPr>
          <w:p w14:paraId="28DE3DBB" w14:textId="77777777" w:rsidR="00051C16" w:rsidRDefault="00000000">
            <w:r>
              <w:rPr>
                <w:b/>
                <w:sz w:val="15"/>
              </w:rPr>
              <w:t>5</w:t>
            </w:r>
          </w:p>
        </w:tc>
        <w:tc>
          <w:tcPr>
            <w:tcW w:w="2520" w:type="dxa"/>
            <w:vAlign w:val="center"/>
          </w:tcPr>
          <w:p w14:paraId="70F2EAF3" w14:textId="77777777" w:rsidR="00051C16" w:rsidRDefault="00000000">
            <w:r>
              <w:rPr>
                <w:sz w:val="15"/>
              </w:rPr>
              <w:t>Where is growth most profitable?</w:t>
            </w:r>
          </w:p>
        </w:tc>
        <w:tc>
          <w:tcPr>
            <w:tcW w:w="3888" w:type="dxa"/>
            <w:vAlign w:val="center"/>
          </w:tcPr>
          <w:p w14:paraId="322C7014" w14:textId="77777777" w:rsidR="00051C16" w:rsidRDefault="00000000">
            <w:r>
              <w:rPr>
                <w:sz w:val="15"/>
              </w:rPr>
              <w:t>Contribution margin analysis</w:t>
            </w:r>
          </w:p>
        </w:tc>
        <w:tc>
          <w:tcPr>
            <w:tcW w:w="2952" w:type="dxa"/>
            <w:vAlign w:val="center"/>
          </w:tcPr>
          <w:p w14:paraId="6DD47638" w14:textId="77777777" w:rsidR="00051C16" w:rsidRDefault="00000000">
            <w:r>
              <w:rPr>
                <w:sz w:val="15"/>
              </w:rPr>
              <w:t>Software &amp; Analytics ~95.08%; Field Services ~37.97%</w:t>
            </w:r>
          </w:p>
        </w:tc>
      </w:tr>
      <w:tr w:rsidR="00051C16" w14:paraId="38D5E3B3" w14:textId="77777777">
        <w:trPr>
          <w:jc w:val="center"/>
        </w:trPr>
        <w:tc>
          <w:tcPr>
            <w:tcW w:w="576" w:type="dxa"/>
            <w:shd w:val="clear" w:color="auto" w:fill="F5F7F9"/>
            <w:vAlign w:val="center"/>
          </w:tcPr>
          <w:p w14:paraId="3FC1E5C7" w14:textId="77777777" w:rsidR="00051C16" w:rsidRDefault="00000000">
            <w:r>
              <w:rPr>
                <w:b/>
                <w:sz w:val="15"/>
              </w:rPr>
              <w:t>6</w:t>
            </w:r>
          </w:p>
        </w:tc>
        <w:tc>
          <w:tcPr>
            <w:tcW w:w="2520" w:type="dxa"/>
            <w:shd w:val="clear" w:color="auto" w:fill="F5F7F9"/>
            <w:vAlign w:val="center"/>
          </w:tcPr>
          <w:p w14:paraId="0C98CDC6" w14:textId="77777777" w:rsidR="00051C16" w:rsidRDefault="00000000">
            <w:r>
              <w:rPr>
                <w:sz w:val="15"/>
              </w:rPr>
              <w:t>Are actuals missing budget?</w:t>
            </w:r>
          </w:p>
        </w:tc>
        <w:tc>
          <w:tcPr>
            <w:tcW w:w="3888" w:type="dxa"/>
            <w:shd w:val="clear" w:color="auto" w:fill="F5F7F9"/>
            <w:vAlign w:val="center"/>
          </w:tcPr>
          <w:p w14:paraId="5D1AED89" w14:textId="77777777" w:rsidR="00051C16" w:rsidRDefault="00000000">
            <w:r>
              <w:rPr>
                <w:sz w:val="15"/>
              </w:rPr>
              <w:t>BU × Region × Month budget comparison</w:t>
            </w:r>
          </w:p>
        </w:tc>
        <w:tc>
          <w:tcPr>
            <w:tcW w:w="2952" w:type="dxa"/>
            <w:shd w:val="clear" w:color="auto" w:fill="F5F7F9"/>
            <w:vAlign w:val="center"/>
          </w:tcPr>
          <w:p w14:paraId="6D177AFB" w14:textId="77777777" w:rsidR="00051C16" w:rsidRDefault="00000000">
            <w:r>
              <w:rPr>
                <w:sz w:val="15"/>
              </w:rPr>
              <w:t>Performed, but not primary conclusion due comparability limitations</w:t>
            </w:r>
          </w:p>
        </w:tc>
      </w:tr>
      <w:tr w:rsidR="00051C16" w14:paraId="598925E8" w14:textId="77777777">
        <w:trPr>
          <w:jc w:val="center"/>
        </w:trPr>
        <w:tc>
          <w:tcPr>
            <w:tcW w:w="576" w:type="dxa"/>
            <w:vAlign w:val="center"/>
          </w:tcPr>
          <w:p w14:paraId="008D0EE4" w14:textId="77777777" w:rsidR="00051C16" w:rsidRDefault="00000000">
            <w:r>
              <w:rPr>
                <w:b/>
                <w:sz w:val="15"/>
              </w:rPr>
              <w:t>7</w:t>
            </w:r>
          </w:p>
        </w:tc>
        <w:tc>
          <w:tcPr>
            <w:tcW w:w="2520" w:type="dxa"/>
            <w:vAlign w:val="center"/>
          </w:tcPr>
          <w:p w14:paraId="3E80F188" w14:textId="77777777" w:rsidR="00051C16" w:rsidRDefault="00000000">
            <w:r>
              <w:rPr>
                <w:sz w:val="15"/>
              </w:rPr>
              <w:t>What explains the gap?</w:t>
            </w:r>
          </w:p>
        </w:tc>
        <w:tc>
          <w:tcPr>
            <w:tcW w:w="3888" w:type="dxa"/>
            <w:vAlign w:val="center"/>
          </w:tcPr>
          <w:p w14:paraId="73BECACB" w14:textId="77777777" w:rsidR="00051C16" w:rsidRDefault="00000000">
            <w:r>
              <w:rPr>
                <w:sz w:val="15"/>
              </w:rPr>
              <w:t>Cross-workstream driver investigation</w:t>
            </w:r>
          </w:p>
        </w:tc>
        <w:tc>
          <w:tcPr>
            <w:tcW w:w="2952" w:type="dxa"/>
            <w:vAlign w:val="center"/>
          </w:tcPr>
          <w:p w14:paraId="7976B19F" w14:textId="77777777" w:rsidR="00051C16" w:rsidRDefault="00000000">
            <w:r>
              <w:rPr>
                <w:sz w:val="15"/>
              </w:rPr>
              <w:t>Multi-factor: discount, cost, BU economics, mix, and data constraints</w:t>
            </w:r>
          </w:p>
        </w:tc>
      </w:tr>
      <w:tr w:rsidR="00051C16" w14:paraId="4564F4DE" w14:textId="77777777">
        <w:trPr>
          <w:jc w:val="center"/>
        </w:trPr>
        <w:tc>
          <w:tcPr>
            <w:tcW w:w="576" w:type="dxa"/>
            <w:shd w:val="clear" w:color="auto" w:fill="F5F7F9"/>
            <w:vAlign w:val="center"/>
          </w:tcPr>
          <w:p w14:paraId="7D802CF0" w14:textId="77777777" w:rsidR="00051C16" w:rsidRDefault="00000000">
            <w:r>
              <w:rPr>
                <w:b/>
                <w:sz w:val="15"/>
              </w:rPr>
              <w:t>8</w:t>
            </w:r>
          </w:p>
        </w:tc>
        <w:tc>
          <w:tcPr>
            <w:tcW w:w="2520" w:type="dxa"/>
            <w:shd w:val="clear" w:color="auto" w:fill="F5F7F9"/>
            <w:vAlign w:val="center"/>
          </w:tcPr>
          <w:p w14:paraId="3948F676" w14:textId="77777777" w:rsidR="00051C16" w:rsidRDefault="00000000">
            <w:r>
              <w:rPr>
                <w:sz w:val="15"/>
              </w:rPr>
              <w:t>What matters financially?</w:t>
            </w:r>
          </w:p>
        </w:tc>
        <w:tc>
          <w:tcPr>
            <w:tcW w:w="3888" w:type="dxa"/>
            <w:shd w:val="clear" w:color="auto" w:fill="F5F7F9"/>
            <w:vAlign w:val="center"/>
          </w:tcPr>
          <w:p w14:paraId="3F23EFB3" w14:textId="77777777" w:rsidR="00051C16" w:rsidRDefault="00000000">
            <w:r>
              <w:rPr>
                <w:sz w:val="15"/>
              </w:rPr>
              <w:t>Quantified impact ranking</w:t>
            </w:r>
          </w:p>
        </w:tc>
        <w:tc>
          <w:tcPr>
            <w:tcW w:w="2952" w:type="dxa"/>
            <w:shd w:val="clear" w:color="auto" w:fill="F5F7F9"/>
            <w:vAlign w:val="center"/>
          </w:tcPr>
          <w:p w14:paraId="60AF6FE8" w14:textId="77777777" w:rsidR="00051C16" w:rsidRDefault="00000000">
            <w:r>
              <w:rPr>
                <w:sz w:val="15"/>
              </w:rPr>
              <w:t>~$510.8K exposure &gt; ~ $49.5K measured cost overrun &gt; ~ $44K illustrative opportunity</w:t>
            </w:r>
          </w:p>
        </w:tc>
      </w:tr>
      <w:tr w:rsidR="00051C16" w14:paraId="22ED0407" w14:textId="77777777">
        <w:trPr>
          <w:jc w:val="center"/>
        </w:trPr>
        <w:tc>
          <w:tcPr>
            <w:tcW w:w="576" w:type="dxa"/>
            <w:vAlign w:val="center"/>
          </w:tcPr>
          <w:p w14:paraId="4D12BD77" w14:textId="77777777" w:rsidR="00051C16" w:rsidRDefault="00000000">
            <w:r>
              <w:rPr>
                <w:b/>
                <w:sz w:val="15"/>
              </w:rPr>
              <w:t>9</w:t>
            </w:r>
          </w:p>
        </w:tc>
        <w:tc>
          <w:tcPr>
            <w:tcW w:w="2520" w:type="dxa"/>
            <w:vAlign w:val="center"/>
          </w:tcPr>
          <w:p w14:paraId="62FB6FBF" w14:textId="77777777" w:rsidR="00051C16" w:rsidRDefault="00000000">
            <w:r>
              <w:rPr>
                <w:sz w:val="15"/>
              </w:rPr>
              <w:t>What should management do?</w:t>
            </w:r>
          </w:p>
        </w:tc>
        <w:tc>
          <w:tcPr>
            <w:tcW w:w="3888" w:type="dxa"/>
            <w:vAlign w:val="center"/>
          </w:tcPr>
          <w:p w14:paraId="62FAD358" w14:textId="77777777" w:rsidR="00051C16" w:rsidRDefault="00000000">
            <w:r>
              <w:rPr>
                <w:sz w:val="15"/>
              </w:rPr>
              <w:t>Prioritized recommendation matrix</w:t>
            </w:r>
          </w:p>
        </w:tc>
        <w:tc>
          <w:tcPr>
            <w:tcW w:w="2952" w:type="dxa"/>
            <w:vAlign w:val="center"/>
          </w:tcPr>
          <w:p w14:paraId="4B8AB275" w14:textId="77777777" w:rsidR="00051C16" w:rsidRDefault="00000000">
            <w:r>
              <w:rPr>
                <w:sz w:val="15"/>
              </w:rPr>
              <w:t>Govern discounts, fix product costs, protect high-margin mix, review Field Services, strengthen controls</w:t>
            </w:r>
          </w:p>
        </w:tc>
      </w:tr>
    </w:tbl>
    <w:p w14:paraId="79C04BFE" w14:textId="77777777" w:rsidR="00051C16" w:rsidRDefault="00051C16">
      <w:pPr>
        <w:spacing w:after="20"/>
      </w:pPr>
    </w:p>
    <w:p w14:paraId="61304C1A" w14:textId="77777777" w:rsidR="00051C16" w:rsidRDefault="00000000">
      <w:pPr>
        <w:pStyle w:val="Heading1"/>
      </w:pPr>
      <w:r>
        <w:t>Appendix B - Data Treatment Decision Matrix</w:t>
      </w:r>
    </w:p>
    <w:tbl>
      <w:tblPr>
        <w:tblStyle w:val="TableGrid"/>
        <w:tblW w:w="0" w:type="auto"/>
        <w:jc w:val="center"/>
        <w:tblLook w:val="04A0" w:firstRow="1" w:lastRow="0" w:firstColumn="1" w:lastColumn="0" w:noHBand="0" w:noVBand="1"/>
      </w:tblPr>
      <w:tblGrid>
        <w:gridCol w:w="2880"/>
        <w:gridCol w:w="2880"/>
        <w:gridCol w:w="4248"/>
      </w:tblGrid>
      <w:tr w:rsidR="00051C16" w14:paraId="61520C19" w14:textId="77777777">
        <w:trPr>
          <w:tblHeader/>
          <w:jc w:val="center"/>
        </w:trPr>
        <w:tc>
          <w:tcPr>
            <w:tcW w:w="2880" w:type="dxa"/>
            <w:shd w:val="clear" w:color="auto" w:fill="1F4E6E"/>
            <w:vAlign w:val="center"/>
          </w:tcPr>
          <w:p w14:paraId="14E472F7" w14:textId="77777777" w:rsidR="00051C16" w:rsidRDefault="00000000">
            <w:pPr>
              <w:jc w:val="center"/>
            </w:pPr>
            <w:r>
              <w:rPr>
                <w:b/>
                <w:color w:val="FFFFFF"/>
                <w:sz w:val="16"/>
              </w:rPr>
              <w:t>Case</w:t>
            </w:r>
          </w:p>
        </w:tc>
        <w:tc>
          <w:tcPr>
            <w:tcW w:w="2880" w:type="dxa"/>
            <w:shd w:val="clear" w:color="auto" w:fill="1F4E6E"/>
            <w:vAlign w:val="center"/>
          </w:tcPr>
          <w:p w14:paraId="1B1B2854" w14:textId="77777777" w:rsidR="00051C16" w:rsidRDefault="00000000">
            <w:pPr>
              <w:jc w:val="center"/>
            </w:pPr>
            <w:r>
              <w:rPr>
                <w:b/>
                <w:color w:val="FFFFFF"/>
                <w:sz w:val="16"/>
              </w:rPr>
              <w:t>Decision</w:t>
            </w:r>
          </w:p>
        </w:tc>
        <w:tc>
          <w:tcPr>
            <w:tcW w:w="4248" w:type="dxa"/>
            <w:shd w:val="clear" w:color="auto" w:fill="1F4E6E"/>
            <w:vAlign w:val="center"/>
          </w:tcPr>
          <w:p w14:paraId="7BE6D3A3" w14:textId="77777777" w:rsidR="00051C16" w:rsidRDefault="00000000">
            <w:pPr>
              <w:jc w:val="center"/>
            </w:pPr>
            <w:r>
              <w:rPr>
                <w:b/>
                <w:color w:val="FFFFFF"/>
                <w:sz w:val="16"/>
              </w:rPr>
              <w:t>Why this decision was made</w:t>
            </w:r>
          </w:p>
        </w:tc>
      </w:tr>
      <w:tr w:rsidR="00051C16" w14:paraId="05B0A519" w14:textId="77777777">
        <w:trPr>
          <w:jc w:val="center"/>
        </w:trPr>
        <w:tc>
          <w:tcPr>
            <w:tcW w:w="2880" w:type="dxa"/>
            <w:vAlign w:val="center"/>
          </w:tcPr>
          <w:p w14:paraId="23A70CE6" w14:textId="77777777" w:rsidR="00051C16" w:rsidRDefault="00000000">
            <w:r>
              <w:rPr>
                <w:b/>
                <w:sz w:val="15"/>
              </w:rPr>
              <w:t>Missing transaction date</w:t>
            </w:r>
          </w:p>
        </w:tc>
        <w:tc>
          <w:tcPr>
            <w:tcW w:w="2880" w:type="dxa"/>
            <w:vAlign w:val="center"/>
          </w:tcPr>
          <w:p w14:paraId="5AA6AA05" w14:textId="77777777" w:rsidR="00051C16" w:rsidRDefault="00000000">
            <w:r>
              <w:rPr>
                <w:sz w:val="15"/>
              </w:rPr>
              <w:t>Exclude from H1 analytical population</w:t>
            </w:r>
          </w:p>
        </w:tc>
        <w:tc>
          <w:tcPr>
            <w:tcW w:w="4248" w:type="dxa"/>
            <w:vAlign w:val="center"/>
          </w:tcPr>
          <w:p w14:paraId="46D5732F" w14:textId="77777777" w:rsidR="00051C16" w:rsidRDefault="00000000">
            <w:r>
              <w:rPr>
                <w:sz w:val="15"/>
              </w:rPr>
              <w:t>Period cannot be established reliably</w:t>
            </w:r>
          </w:p>
        </w:tc>
      </w:tr>
      <w:tr w:rsidR="00051C16" w14:paraId="61CF4028" w14:textId="77777777">
        <w:trPr>
          <w:jc w:val="center"/>
        </w:trPr>
        <w:tc>
          <w:tcPr>
            <w:tcW w:w="2880" w:type="dxa"/>
            <w:shd w:val="clear" w:color="auto" w:fill="F5F7F9"/>
            <w:vAlign w:val="center"/>
          </w:tcPr>
          <w:p w14:paraId="64BA6D72" w14:textId="77777777" w:rsidR="00051C16" w:rsidRDefault="00000000">
            <w:r>
              <w:rPr>
                <w:b/>
                <w:sz w:val="15"/>
              </w:rPr>
              <w:t>Invalid / unmatched IDs</w:t>
            </w:r>
          </w:p>
        </w:tc>
        <w:tc>
          <w:tcPr>
            <w:tcW w:w="2880" w:type="dxa"/>
            <w:shd w:val="clear" w:color="auto" w:fill="F5F7F9"/>
            <w:vAlign w:val="center"/>
          </w:tcPr>
          <w:p w14:paraId="5F05A58C" w14:textId="77777777" w:rsidR="00051C16" w:rsidRDefault="00000000">
            <w:r>
              <w:rPr>
                <w:sz w:val="15"/>
              </w:rPr>
              <w:t>Exclude from reliable dimension attribution</w:t>
            </w:r>
          </w:p>
        </w:tc>
        <w:tc>
          <w:tcPr>
            <w:tcW w:w="4248" w:type="dxa"/>
            <w:shd w:val="clear" w:color="auto" w:fill="F5F7F9"/>
            <w:vAlign w:val="center"/>
          </w:tcPr>
          <w:p w14:paraId="76ACE4B7" w14:textId="77777777" w:rsidR="00051C16" w:rsidRDefault="00000000">
            <w:r>
              <w:rPr>
                <w:sz w:val="15"/>
              </w:rPr>
              <w:t>Protects customer/product reporting quality</w:t>
            </w:r>
          </w:p>
        </w:tc>
      </w:tr>
      <w:tr w:rsidR="00051C16" w14:paraId="0488A2FD" w14:textId="77777777">
        <w:trPr>
          <w:jc w:val="center"/>
        </w:trPr>
        <w:tc>
          <w:tcPr>
            <w:tcW w:w="2880" w:type="dxa"/>
            <w:vAlign w:val="center"/>
          </w:tcPr>
          <w:p w14:paraId="66DD2C26" w14:textId="77777777" w:rsidR="00051C16" w:rsidRDefault="00000000">
            <w:r>
              <w:rPr>
                <w:b/>
                <w:sz w:val="15"/>
              </w:rPr>
              <w:t>Negative quantity</w:t>
            </w:r>
          </w:p>
        </w:tc>
        <w:tc>
          <w:tcPr>
            <w:tcW w:w="2880" w:type="dxa"/>
            <w:vAlign w:val="center"/>
          </w:tcPr>
          <w:p w14:paraId="4DF3A40A" w14:textId="77777777" w:rsidR="00051C16" w:rsidRDefault="00000000">
            <w:r>
              <w:rPr>
                <w:sz w:val="15"/>
              </w:rPr>
              <w:t>Preserve; do not force correction</w:t>
            </w:r>
          </w:p>
        </w:tc>
        <w:tc>
          <w:tcPr>
            <w:tcW w:w="4248" w:type="dxa"/>
            <w:vAlign w:val="center"/>
          </w:tcPr>
          <w:p w14:paraId="16E9059A" w14:textId="77777777" w:rsidR="00051C16" w:rsidRDefault="00000000">
            <w:r>
              <w:rPr>
                <w:sz w:val="15"/>
              </w:rPr>
              <w:t>Business meaning may be return/adjustment or error</w:t>
            </w:r>
          </w:p>
        </w:tc>
      </w:tr>
      <w:tr w:rsidR="00051C16" w14:paraId="5342D1E6" w14:textId="77777777">
        <w:trPr>
          <w:jc w:val="center"/>
        </w:trPr>
        <w:tc>
          <w:tcPr>
            <w:tcW w:w="2880" w:type="dxa"/>
            <w:shd w:val="clear" w:color="auto" w:fill="F5F7F9"/>
            <w:vAlign w:val="center"/>
          </w:tcPr>
          <w:p w14:paraId="08E186AD" w14:textId="77777777" w:rsidR="00051C16" w:rsidRDefault="00000000">
            <w:r>
              <w:rPr>
                <w:b/>
                <w:sz w:val="15"/>
              </w:rPr>
              <w:t>Exact duplicate</w:t>
            </w:r>
          </w:p>
        </w:tc>
        <w:tc>
          <w:tcPr>
            <w:tcW w:w="2880" w:type="dxa"/>
            <w:shd w:val="clear" w:color="auto" w:fill="F5F7F9"/>
            <w:vAlign w:val="center"/>
          </w:tcPr>
          <w:p w14:paraId="4EF84841" w14:textId="77777777" w:rsidR="00051C16" w:rsidRDefault="00000000">
            <w:r>
              <w:rPr>
                <w:sz w:val="15"/>
              </w:rPr>
              <w:t>Remove</w:t>
            </w:r>
          </w:p>
        </w:tc>
        <w:tc>
          <w:tcPr>
            <w:tcW w:w="4248" w:type="dxa"/>
            <w:shd w:val="clear" w:color="auto" w:fill="F5F7F9"/>
            <w:vAlign w:val="center"/>
          </w:tcPr>
          <w:p w14:paraId="25F8C24D" w14:textId="77777777" w:rsidR="00051C16" w:rsidRDefault="00000000">
            <w:r>
              <w:rPr>
                <w:sz w:val="15"/>
              </w:rPr>
              <w:t>Reduces confirmed double-counting risk</w:t>
            </w:r>
          </w:p>
        </w:tc>
      </w:tr>
      <w:tr w:rsidR="00051C16" w14:paraId="054451D8" w14:textId="77777777">
        <w:trPr>
          <w:jc w:val="center"/>
        </w:trPr>
        <w:tc>
          <w:tcPr>
            <w:tcW w:w="2880" w:type="dxa"/>
            <w:vAlign w:val="center"/>
          </w:tcPr>
          <w:p w14:paraId="457B3ACC" w14:textId="77777777" w:rsidR="00051C16" w:rsidRDefault="00000000">
            <w:r>
              <w:rPr>
                <w:b/>
                <w:sz w:val="15"/>
              </w:rPr>
              <w:t>Near duplicate</w:t>
            </w:r>
          </w:p>
        </w:tc>
        <w:tc>
          <w:tcPr>
            <w:tcW w:w="2880" w:type="dxa"/>
            <w:vAlign w:val="center"/>
          </w:tcPr>
          <w:p w14:paraId="238B8093" w14:textId="77777777" w:rsidR="00051C16" w:rsidRDefault="00000000">
            <w:r>
              <w:rPr>
                <w:sz w:val="15"/>
              </w:rPr>
              <w:t>Investigate individually</w:t>
            </w:r>
          </w:p>
        </w:tc>
        <w:tc>
          <w:tcPr>
            <w:tcW w:w="4248" w:type="dxa"/>
            <w:vAlign w:val="center"/>
          </w:tcPr>
          <w:p w14:paraId="39D0406C" w14:textId="77777777" w:rsidR="00051C16" w:rsidRDefault="00000000">
            <w:r>
              <w:rPr>
                <w:sz w:val="15"/>
              </w:rPr>
              <w:t>May represent separate valid orders</w:t>
            </w:r>
          </w:p>
        </w:tc>
      </w:tr>
      <w:tr w:rsidR="00051C16" w14:paraId="61DD0A61" w14:textId="77777777">
        <w:trPr>
          <w:jc w:val="center"/>
        </w:trPr>
        <w:tc>
          <w:tcPr>
            <w:tcW w:w="2880" w:type="dxa"/>
            <w:shd w:val="clear" w:color="auto" w:fill="F5F7F9"/>
            <w:vAlign w:val="center"/>
          </w:tcPr>
          <w:p w14:paraId="29048072" w14:textId="77777777" w:rsidR="00051C16" w:rsidRDefault="00000000">
            <w:r>
              <w:rPr>
                <w:b/>
                <w:sz w:val="15"/>
              </w:rPr>
              <w:t>Missing cost month</w:t>
            </w:r>
          </w:p>
        </w:tc>
        <w:tc>
          <w:tcPr>
            <w:tcW w:w="2880" w:type="dxa"/>
            <w:shd w:val="clear" w:color="auto" w:fill="F5F7F9"/>
            <w:vAlign w:val="center"/>
          </w:tcPr>
          <w:p w14:paraId="2CC05900" w14:textId="77777777" w:rsidR="00051C16" w:rsidRDefault="00000000">
            <w:r>
              <w:rPr>
                <w:sz w:val="15"/>
              </w:rPr>
              <w:t>Impute and flag where H1 evidence supports</w:t>
            </w:r>
          </w:p>
        </w:tc>
        <w:tc>
          <w:tcPr>
            <w:tcW w:w="4248" w:type="dxa"/>
            <w:shd w:val="clear" w:color="auto" w:fill="F5F7F9"/>
            <w:vAlign w:val="center"/>
          </w:tcPr>
          <w:p w14:paraId="6A2328B1" w14:textId="77777777" w:rsidR="00051C16" w:rsidRDefault="00000000">
            <w:r>
              <w:rPr>
                <w:sz w:val="15"/>
              </w:rPr>
              <w:t>Maintains analytical continuity with transparency</w:t>
            </w:r>
          </w:p>
        </w:tc>
      </w:tr>
      <w:tr w:rsidR="00051C16" w14:paraId="32BA8776" w14:textId="77777777">
        <w:trPr>
          <w:jc w:val="center"/>
        </w:trPr>
        <w:tc>
          <w:tcPr>
            <w:tcW w:w="2880" w:type="dxa"/>
            <w:vAlign w:val="center"/>
          </w:tcPr>
          <w:p w14:paraId="77E423A5" w14:textId="77777777" w:rsidR="00051C16" w:rsidRDefault="00000000">
            <w:r>
              <w:rPr>
                <w:b/>
                <w:sz w:val="15"/>
              </w:rPr>
              <w:t>Missing P-SI-008 standard cost</w:t>
            </w:r>
          </w:p>
        </w:tc>
        <w:tc>
          <w:tcPr>
            <w:tcW w:w="2880" w:type="dxa"/>
            <w:vAlign w:val="center"/>
          </w:tcPr>
          <w:p w14:paraId="06386D2D" w14:textId="77777777" w:rsidR="00051C16" w:rsidRDefault="00000000">
            <w:r>
              <w:rPr>
                <w:sz w:val="15"/>
              </w:rPr>
              <w:t>Use $385 supported by H1 evidence</w:t>
            </w:r>
          </w:p>
        </w:tc>
        <w:tc>
          <w:tcPr>
            <w:tcW w:w="4248" w:type="dxa"/>
            <w:vAlign w:val="center"/>
          </w:tcPr>
          <w:p w14:paraId="3DC1111E" w14:textId="77777777" w:rsidR="00051C16" w:rsidRDefault="00000000">
            <w:r>
              <w:rPr>
                <w:sz w:val="15"/>
              </w:rPr>
              <w:t>Evidence-based master-data completion</w:t>
            </w:r>
          </w:p>
        </w:tc>
      </w:tr>
      <w:tr w:rsidR="00051C16" w14:paraId="7CFDE27B" w14:textId="77777777">
        <w:trPr>
          <w:jc w:val="center"/>
        </w:trPr>
        <w:tc>
          <w:tcPr>
            <w:tcW w:w="2880" w:type="dxa"/>
            <w:shd w:val="clear" w:color="auto" w:fill="F5F7F9"/>
            <w:vAlign w:val="center"/>
          </w:tcPr>
          <w:p w14:paraId="38EB925C" w14:textId="77777777" w:rsidR="00051C16" w:rsidRDefault="00000000">
            <w:r>
              <w:rPr>
                <w:b/>
                <w:sz w:val="15"/>
              </w:rPr>
              <w:t>Discounts for Strategic / Key Accounts</w:t>
            </w:r>
          </w:p>
        </w:tc>
        <w:tc>
          <w:tcPr>
            <w:tcW w:w="2880" w:type="dxa"/>
            <w:shd w:val="clear" w:color="auto" w:fill="F5F7F9"/>
            <w:vAlign w:val="center"/>
          </w:tcPr>
          <w:p w14:paraId="405A9AC1" w14:textId="77777777" w:rsidR="00051C16" w:rsidRDefault="00000000">
            <w:r>
              <w:rPr>
                <w:sz w:val="15"/>
              </w:rPr>
              <w:t>Retain; classify as exposure</w:t>
            </w:r>
          </w:p>
        </w:tc>
        <w:tc>
          <w:tcPr>
            <w:tcW w:w="4248" w:type="dxa"/>
            <w:shd w:val="clear" w:color="auto" w:fill="F5F7F9"/>
            <w:vAlign w:val="center"/>
          </w:tcPr>
          <w:p w14:paraId="6EEFB4F4" w14:textId="77777777" w:rsidR="00051C16" w:rsidRDefault="00000000">
            <w:r>
              <w:rPr>
                <w:sz w:val="15"/>
              </w:rPr>
              <w:t>Commercial rationale may exist; excess not proven</w:t>
            </w:r>
          </w:p>
        </w:tc>
      </w:tr>
    </w:tbl>
    <w:p w14:paraId="32E693FA" w14:textId="77777777" w:rsidR="00051C16" w:rsidRDefault="00051C16">
      <w:pPr>
        <w:spacing w:after="20"/>
      </w:pPr>
    </w:p>
    <w:p w14:paraId="52C7AB12" w14:textId="77777777" w:rsidR="00051C16" w:rsidRDefault="00000000">
      <w:pPr>
        <w:pStyle w:val="Heading1"/>
      </w:pPr>
      <w:r>
        <w:t>Appendix C - What This Analysis Does Not Claim</w:t>
      </w:r>
    </w:p>
    <w:p w14:paraId="50FAB5CB" w14:textId="77777777" w:rsidR="00051C16" w:rsidRDefault="00000000">
      <w:pPr>
        <w:pStyle w:val="ListBullet"/>
        <w:spacing w:after="40"/>
        <w:ind w:left="317" w:hanging="173"/>
      </w:pPr>
      <w:r>
        <w:t>The full ~ $510.8K discount exposure is not confirmed profit loss or fully recoverable revenue.</w:t>
      </w:r>
    </w:p>
    <w:p w14:paraId="3D1D07EF" w14:textId="77777777" w:rsidR="00051C16" w:rsidRDefault="00000000">
      <w:pPr>
        <w:pStyle w:val="ListBullet"/>
        <w:spacing w:after="40"/>
        <w:ind w:left="317" w:hanging="173"/>
      </w:pPr>
      <w:r>
        <w:t>The ~ $49.5K P-SI-004/P-SI-007 cost overrun is a benchmarked opportunity, not automatically avoidable without root-cause validation.</w:t>
      </w:r>
    </w:p>
    <w:p w14:paraId="1DC637D7" w14:textId="77777777" w:rsidR="00051C16" w:rsidRDefault="00000000">
      <w:pPr>
        <w:pStyle w:val="ListBullet"/>
        <w:spacing w:after="40"/>
        <w:ind w:left="317" w:hanging="173"/>
      </w:pPr>
      <w:r>
        <w:t>The ~ $44K Field Services figure is not a realized loss.</w:t>
      </w:r>
    </w:p>
    <w:p w14:paraId="5858E8AE" w14:textId="77777777" w:rsidR="00051C16" w:rsidRDefault="00000000">
      <w:pPr>
        <w:pStyle w:val="ListBullet"/>
        <w:spacing w:after="40"/>
        <w:ind w:left="317" w:hanging="173"/>
      </w:pPr>
      <w:r>
        <w:t>Budget variance results are not treated as primary causes where comparability is uncertain.</w:t>
      </w:r>
    </w:p>
    <w:p w14:paraId="65E3302D" w14:textId="77777777" w:rsidR="00051C16" w:rsidRDefault="00000000">
      <w:pPr>
        <w:pStyle w:val="ListBullet"/>
        <w:spacing w:after="40"/>
        <w:ind w:left="317" w:hanging="173"/>
      </w:pPr>
      <w:r>
        <w:t>All anomalies are not errors; some are legitimate business events.</w:t>
      </w:r>
    </w:p>
    <w:p w14:paraId="57BC2DCD" w14:textId="77777777" w:rsidR="00051C16" w:rsidRDefault="00000000">
      <w:pPr>
        <w:pStyle w:val="ListBullet"/>
        <w:spacing w:after="40"/>
        <w:ind w:left="317" w:hanging="173"/>
      </w:pPr>
      <w:r>
        <w:t>The financial-impact figures should not be summed into one total loss or opportunity estimate.</w:t>
      </w:r>
    </w:p>
    <w:p w14:paraId="6A742A53" w14:textId="438C68FB" w:rsidR="00051C16" w:rsidRDefault="00051C16">
      <w:pPr>
        <w:spacing w:before="200"/>
        <w:jc w:val="center"/>
      </w:pPr>
    </w:p>
    <w:sectPr w:rsidR="00051C16" w:rsidSect="00034616">
      <w:headerReference w:type="default" r:id="rId8"/>
      <w:footerReference w:type="default" r:id="rId9"/>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D756" w14:textId="77777777" w:rsidR="00CA23D6" w:rsidRDefault="00CA23D6">
      <w:pPr>
        <w:spacing w:after="0" w:line="240" w:lineRule="auto"/>
      </w:pPr>
      <w:r>
        <w:separator/>
      </w:r>
    </w:p>
  </w:endnote>
  <w:endnote w:type="continuationSeparator" w:id="0">
    <w:p w14:paraId="6E9ABC16" w14:textId="77777777" w:rsidR="00CA23D6" w:rsidRDefault="00CA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1C88" w14:textId="549D03EB" w:rsidR="00051C16" w:rsidRDefault="00000000">
    <w:pPr>
      <w:pStyle w:val="Footer"/>
      <w:jc w:val="center"/>
    </w:pPr>
    <w:proofErr w:type="spellStart"/>
    <w:r>
      <w:rPr>
        <w:color w:val="667085"/>
        <w:sz w:val="14"/>
      </w:rPr>
      <w:t>Zakariae</w:t>
    </w:r>
    <w:proofErr w:type="spellEnd"/>
    <w:r>
      <w:rPr>
        <w:color w:val="667085"/>
        <w:sz w:val="14"/>
      </w:rPr>
      <w:t xml:space="preserve"> </w:t>
    </w:r>
    <w:proofErr w:type="gramStart"/>
    <w:r>
      <w:rPr>
        <w:color w:val="667085"/>
        <w:sz w:val="14"/>
      </w:rPr>
      <w:t>ELMAHFOUDI  |</w:t>
    </w:r>
    <w:proofErr w:type="gramEnd"/>
    <w:r>
      <w:rPr>
        <w:color w:val="667085"/>
        <w:sz w:val="14"/>
      </w:rPr>
      <w:t xml:space="preserve">  H1 2025 Revenue Growth </w:t>
    </w:r>
    <w:r w:rsidR="000752E9">
      <w:rPr>
        <w:color w:val="667085"/>
        <w:sz w:val="14"/>
      </w:rPr>
      <w:t>&amp;</w:t>
    </w:r>
    <w:r>
      <w:rPr>
        <w:color w:val="667085"/>
        <w:sz w:val="14"/>
      </w:rPr>
      <w:t xml:space="preserve"> Profitability Gap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13BE" w14:textId="77777777" w:rsidR="00CA23D6" w:rsidRDefault="00CA23D6">
      <w:pPr>
        <w:spacing w:after="0" w:line="240" w:lineRule="auto"/>
      </w:pPr>
      <w:r>
        <w:separator/>
      </w:r>
    </w:p>
  </w:footnote>
  <w:footnote w:type="continuationSeparator" w:id="0">
    <w:p w14:paraId="4FFB12AF" w14:textId="77777777" w:rsidR="00CA23D6" w:rsidRDefault="00CA2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BDC5" w14:textId="77777777" w:rsidR="00051C16" w:rsidRDefault="00051C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900117">
    <w:abstractNumId w:val="8"/>
  </w:num>
  <w:num w:numId="2" w16cid:durableId="1544901183">
    <w:abstractNumId w:val="6"/>
  </w:num>
  <w:num w:numId="3" w16cid:durableId="639573336">
    <w:abstractNumId w:val="5"/>
  </w:num>
  <w:num w:numId="4" w16cid:durableId="1516724535">
    <w:abstractNumId w:val="4"/>
  </w:num>
  <w:num w:numId="5" w16cid:durableId="1637252164">
    <w:abstractNumId w:val="7"/>
  </w:num>
  <w:num w:numId="6" w16cid:durableId="1322739093">
    <w:abstractNumId w:val="3"/>
  </w:num>
  <w:num w:numId="7" w16cid:durableId="360129762">
    <w:abstractNumId w:val="2"/>
  </w:num>
  <w:num w:numId="8" w16cid:durableId="631137257">
    <w:abstractNumId w:val="1"/>
  </w:num>
  <w:num w:numId="9" w16cid:durableId="47136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C16"/>
    <w:rsid w:val="0006063C"/>
    <w:rsid w:val="000752E9"/>
    <w:rsid w:val="0015074B"/>
    <w:rsid w:val="0029639D"/>
    <w:rsid w:val="00326F90"/>
    <w:rsid w:val="00A427E0"/>
    <w:rsid w:val="00AA1D8D"/>
    <w:rsid w:val="00B47730"/>
    <w:rsid w:val="00CA23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D5FC5"/>
  <w14:defaultImageDpi w14:val="300"/>
  <w15:docId w15:val="{706CD5E2-6505-4732-B67F-EFA49D82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Aptos" w:hAnsi="Aptos"/>
      <w:color w:val="243447"/>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6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6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color w:val="243447"/>
      <w:sz w:val="16"/>
    </w:rPr>
  </w:style>
  <w:style w:type="paragraph" w:customStyle="1" w:styleId="Small">
    <w:name w:val="Small"/>
    <w:pPr>
      <w:spacing w:after="60"/>
    </w:pPr>
    <w:rPr>
      <w:rFonts w:ascii="Aptos" w:hAnsi="Aptos"/>
      <w:color w:val="66708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5864</Words>
  <Characters>33429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Precision Systems - H1 2025 Detailed Analysis Report</dc:title>
  <dc:subject>Finance Analytics / FP&amp;A / Revenue and Profitability Analysis</dc:subject>
  <dc:creator>Zakariae ELMAHFOUDI</dc:creator>
  <cp:keywords>FP&amp;A, Finance Analytics, Excel, Revenue, Profitability, H1 2025</cp:keywords>
  <dc:description>generated by python-docx</dc:description>
  <cp:lastModifiedBy>kimo baro</cp:lastModifiedBy>
  <cp:revision>2</cp:revision>
  <dcterms:created xsi:type="dcterms:W3CDTF">2013-12-23T23:15:00Z</dcterms:created>
  <dcterms:modified xsi:type="dcterms:W3CDTF">2026-09-06T13:42:00Z</dcterms:modified>
  <cp:category/>
</cp:coreProperties>
</file>