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0"/>
        </w:rPr>
        <w:t>BOQ vs SOR RATE ANALYSIS REPORT</w:t>
      </w:r>
    </w:p>
    <w:p>
      <w:pPr>
        <w:jc w:val="center"/>
      </w:pPr>
      <w:r>
        <w:rPr>
          <w:color w:val="374151"/>
          <w:sz w:val="28"/>
        </w:rPr>
        <w:t>Tender ID: 1290886</w:t>
      </w:r>
    </w:p>
    <w:p>
      <w:pPr>
        <w:jc w:val="center"/>
      </w:pPr>
      <w:r>
        <w:rPr>
          <w:i/>
          <w:sz w:val="20"/>
        </w:rPr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Procuring 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BWDB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Agency / 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BWDB Schedule of 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Invitation Ref.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Tender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1290886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Tender 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Analysis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23-Jun-2026 07:52</w:t>
            </w:r>
          </w:p>
        </w:tc>
      </w:tr>
    </w:tbl>
    <w:p/>
    <w:p>
      <w:r>
        <w:rPr>
          <w:b/>
          <w:color w:val="1E40AF"/>
          <w:sz w:val="28"/>
        </w:rP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Total SOR Amount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BDT 0.00</w:t>
            </w:r>
          </w:p>
        </w:tc>
      </w:tr>
      <w:tr>
        <w:tc>
          <w:tcPr>
            <w:tcW w:type="dxa" w:w="5669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Total Quoted Amount</w:t>
            </w:r>
          </w:p>
        </w:tc>
        <w:tc>
          <w:tcPr>
            <w:tcW w:type="dxa" w:w="45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BDT 0.00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Net Saving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BDT 0.00</w:t>
            </w:r>
          </w:p>
        </w:tc>
      </w:tr>
      <w:tr>
        <w:tc>
          <w:tcPr>
            <w:tcW w:type="dxa" w:w="5669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Overall Discount</w:t>
            </w:r>
          </w:p>
        </w:tc>
        <w:tc>
          <w:tcPr>
            <w:tcW w:type="dxa" w:w="45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Flagged Items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5669"/>
            <w:shd w:fill="f3f4f6" w:val="clear"/>
          </w:tcPr>
          <w:p>
            <w:pPr>
              <w:jc w:val="left"/>
            </w:pPr>
            <w:r>
              <w:rPr>
                <w:sz w:val="18"/>
              </w:rPr>
              <w:t>Items Matched</w:t>
            </w:r>
          </w:p>
        </w:tc>
        <w:tc>
          <w:tcPr>
            <w:tcW w:type="dxa" w:w="4535"/>
            <w:shd w:fill="f3f4f6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>
              <w:rPr>
                <w:sz w:val="18"/>
              </w:rPr>
              <w:t>Total Items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color w:val="1E40AF"/>
          <w:sz w:val="28"/>
        </w:rPr>
        <w:t>WORK TYPE SUMMARY</w:t>
      </w:r>
    </w:p>
    <w:p>
      <w:r>
        <w:t>No work type summary available.</w:t>
      </w:r>
    </w:p>
    <w:p/>
    <w:p>
      <w:r>
        <w:rPr>
          <w:b/>
          <w:color w:val="1E40AF"/>
          <w:sz w:val="28"/>
        </w:rPr>
        <w:t>DETAILED BOQ ITEM COMPARISON</w:t>
      </w:r>
    </w:p>
    <w:p>
      <w:r>
        <w:t>No comparison data available.</w:t>
      </w:r>
    </w:p>
    <w:p/>
    <w:p>
      <w:r>
        <w:rPr>
          <w:b/>
          <w:color w:val="DC2626"/>
          <w:sz w:val="28"/>
        </w:rPr>
        <w:t>FLAGGED ITEMS — REQUIRES ATTENTION</w:t>
      </w:r>
    </w:p>
    <w:p>
      <w:r>
        <w:t>No flagged items — all rates match SOR within acceptable range.</w:t>
      </w:r>
    </w:p>
    <w:p/>
    <w:p>
      <w:r>
        <w:rPr>
          <w:b/>
          <w:color w:val="1E40AF"/>
          <w:sz w:val="28"/>
        </w:rPr>
        <w:t>FINANCIAL ELIGIBILITY CHECK</w:t>
      </w:r>
    </w:p>
    <w:p>
      <w:r>
        <w:t>No financial eligibility data available.</w:t>
      </w:r>
    </w:p>
    <w:p/>
    <w:p/>
    <w:p>
      <w:pPr>
        <w:jc w:val="center"/>
      </w:pPr>
      <w:r>
        <w:rPr>
          <w:i/>
          <w:color w:val="9CA3AF"/>
          <w:sz w:val="20"/>
        </w:rPr>
        <w:t>— End of Report —</w:t>
      </w:r>
    </w:p>
    <w:p>
      <w:pPr>
        <w:jc w:val="center"/>
      </w:pPr>
      <w:r>
        <w:rPr>
          <w:color w:val="9CA3AF"/>
          <w:sz w:val="16"/>
        </w:rPr>
        <w:t>Generated by Procurement Flow Specialist BD v2.0 on 23-Jun-2026 07:52</w:t>
      </w:r>
    </w:p>
    <w:p>
      <w:pPr>
        <w:jc w:val="center"/>
      </w:pPr>
      <w:r>
        <w:rPr>
          <w:i/>
          <w:color w:val="9CA3AF"/>
          <w:sz w:val="16"/>
        </w:rPr>
        <w:t>SOR rates are for reference only. Verify all rates with official schedule before bidding.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