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fr-FR"/>
        </w:rPr>
      </w:pPr>
      <w:r>
        <w:rPr>
          <w:lang w:val="fr-FR"/>
        </w:rPr>
      </w:r>
    </w:p>
    <w:p>
      <w:pPr>
        <w:pStyle w:val="Normal"/>
        <w:bidi w:val="0"/>
        <w:jc w:val="left"/>
        <w:rPr>
          <w:lang w:val="fr-FR"/>
        </w:rPr>
      </w:pPr>
      <w:r>
        <w:rPr>
          <w:lang w:val="fr-FR"/>
        </w:rPr>
      </w:r>
    </w:p>
    <w:tbl>
      <w:tblPr>
        <w:tblW w:w="13724" w:type="dxa"/>
        <w:jc w:val="left"/>
        <w:tblInd w:w="48" w:type="dxa"/>
        <w:tblLayout w:type="fixed"/>
        <w:tblCellMar>
          <w:top w:w="55" w:type="dxa"/>
          <w:left w:w="55" w:type="dxa"/>
          <w:bottom w:w="55" w:type="dxa"/>
          <w:right w:w="55" w:type="dxa"/>
        </w:tblCellMar>
      </w:tblPr>
      <w:tblGrid>
        <w:gridCol w:w="1534"/>
        <w:gridCol w:w="3335"/>
        <w:gridCol w:w="2732"/>
        <w:gridCol w:w="2541"/>
        <w:gridCol w:w="3582"/>
      </w:tblGrid>
      <w:tr>
        <w:trPr/>
        <w:tc>
          <w:tcPr>
            <w:tcW w:w="1534" w:type="dxa"/>
            <w:tcBorders>
              <w:top w:val="single" w:sz="4" w:space="0" w:color="000000"/>
              <w:left w:val="single" w:sz="4" w:space="0" w:color="000000"/>
              <w:bottom w:val="single" w:sz="4" w:space="0" w:color="000000"/>
            </w:tcBorders>
          </w:tcPr>
          <w:p>
            <w:pPr>
              <w:pStyle w:val="TableContents"/>
              <w:bidi w:val="0"/>
              <w:jc w:val="left"/>
              <w:rPr>
                <w:lang w:val="fr-FR"/>
              </w:rPr>
            </w:pPr>
            <w:r>
              <w:rPr>
                <w:lang w:val="fr-FR"/>
              </w:rPr>
              <w:t>Abbreviation</w:t>
            </w:r>
          </w:p>
        </w:tc>
        <w:tc>
          <w:tcPr>
            <w:tcW w:w="3335" w:type="dxa"/>
            <w:tcBorders>
              <w:top w:val="single" w:sz="4" w:space="0" w:color="000000"/>
              <w:left w:val="single" w:sz="4" w:space="0" w:color="000000"/>
              <w:bottom w:val="single" w:sz="4" w:space="0" w:color="000000"/>
            </w:tcBorders>
          </w:tcPr>
          <w:p>
            <w:pPr>
              <w:pStyle w:val="TableContents"/>
              <w:bidi w:val="0"/>
              <w:jc w:val="left"/>
              <w:rPr>
                <w:lang w:val="fr-FR"/>
              </w:rPr>
            </w:pPr>
            <w:r>
              <w:rPr>
                <w:lang w:val="fr-FR"/>
              </w:rPr>
              <w:t>Nom</w:t>
            </w:r>
          </w:p>
        </w:tc>
        <w:tc>
          <w:tcPr>
            <w:tcW w:w="2732" w:type="dxa"/>
            <w:tcBorders>
              <w:top w:val="single" w:sz="4" w:space="0" w:color="000000"/>
              <w:left w:val="single" w:sz="4" w:space="0" w:color="000000"/>
              <w:bottom w:val="single" w:sz="4" w:space="0" w:color="000000"/>
            </w:tcBorders>
          </w:tcPr>
          <w:p>
            <w:pPr>
              <w:pStyle w:val="TableContents"/>
              <w:bidi w:val="0"/>
              <w:jc w:val="left"/>
              <w:rPr>
                <w:lang w:val="fr-FR"/>
              </w:rPr>
            </w:pPr>
            <w:r>
              <w:rPr>
                <w:lang w:val="fr-FR"/>
              </w:rPr>
              <w:t>Base legale</w:t>
            </w:r>
          </w:p>
        </w:tc>
        <w:tc>
          <w:tcPr>
            <w:tcW w:w="2541" w:type="dxa"/>
            <w:tcBorders>
              <w:top w:val="single" w:sz="4" w:space="0" w:color="000000"/>
              <w:left w:val="single" w:sz="4" w:space="0" w:color="000000"/>
              <w:bottom w:val="single" w:sz="4" w:space="0" w:color="000000"/>
            </w:tcBorders>
          </w:tcPr>
          <w:p>
            <w:pPr>
              <w:pStyle w:val="TableContents"/>
              <w:bidi w:val="0"/>
              <w:jc w:val="left"/>
              <w:rPr>
                <w:lang w:val="fr-FR"/>
              </w:rPr>
            </w:pPr>
            <w:r>
              <w:rPr>
                <w:lang w:val="fr-FR"/>
              </w:rPr>
              <w:t>Base de taxation</w:t>
            </w:r>
          </w:p>
        </w:tc>
        <w:tc>
          <w:tcPr>
            <w:tcW w:w="3582" w:type="dxa"/>
            <w:tcBorders>
              <w:top w:val="single" w:sz="4" w:space="0" w:color="000000"/>
              <w:left w:val="single" w:sz="4" w:space="0" w:color="000000"/>
              <w:bottom w:val="single" w:sz="4" w:space="0" w:color="000000"/>
              <w:right w:val="single" w:sz="4" w:space="0" w:color="000000"/>
            </w:tcBorders>
          </w:tcPr>
          <w:p>
            <w:pPr>
              <w:pStyle w:val="TableContents"/>
              <w:bidi w:val="0"/>
              <w:jc w:val="left"/>
              <w:rPr>
                <w:lang w:val="fr-FR"/>
              </w:rPr>
            </w:pPr>
            <w:r>
              <w:rPr>
                <w:lang w:val="fr-FR"/>
              </w:rPr>
              <w:t>Taux d’imposition</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DD</w:t>
            </w:r>
          </w:p>
        </w:tc>
        <w:tc>
          <w:tcPr>
            <w:tcW w:w="3335" w:type="dxa"/>
            <w:tcBorders>
              <w:left w:val="single" w:sz="4" w:space="0" w:color="000000"/>
              <w:bottom w:val="single" w:sz="4" w:space="0" w:color="000000"/>
            </w:tcBorders>
          </w:tcPr>
          <w:p>
            <w:pPr>
              <w:pStyle w:val="Normal"/>
              <w:bidi w:val="0"/>
              <w:jc w:val="left"/>
              <w:rPr/>
            </w:pPr>
            <w:r>
              <w:rPr/>
              <w:t xml:space="preserve">Droit de Douane </w:t>
            </w:r>
          </w:p>
        </w:tc>
        <w:tc>
          <w:tcPr>
            <w:tcW w:w="2732" w:type="dxa"/>
            <w:tcBorders>
              <w:left w:val="single" w:sz="4" w:space="0" w:color="000000"/>
              <w:bottom w:val="single" w:sz="4" w:space="0" w:color="000000"/>
            </w:tcBorders>
          </w:tcPr>
          <w:p>
            <w:pPr>
              <w:pStyle w:val="Normal"/>
              <w:bidi w:val="0"/>
              <w:jc w:val="left"/>
              <w:rPr/>
            </w:pPr>
            <w:r>
              <w:rPr/>
              <w:t>Le droit de douane à l'importation est un impôt perçu au cordon douanier sur les marchandises</w:t>
            </w:r>
          </w:p>
          <w:p>
            <w:pPr>
              <w:pStyle w:val="Normal"/>
              <w:bidi w:val="0"/>
              <w:jc w:val="left"/>
              <w:rPr/>
            </w:pPr>
            <w:r>
              <w:rPr/>
              <w:t>destinées à être mises à la consommation sur le territoire douanier togolais. Il est régi par le règlement</w:t>
            </w:r>
          </w:p>
          <w:p>
            <w:pPr>
              <w:pStyle w:val="Normal"/>
              <w:bidi w:val="0"/>
              <w:jc w:val="left"/>
              <w:rPr/>
            </w:pPr>
            <w:r>
              <w:rPr/>
              <w:t>n°02/97/CM/UEMOA du 28/11/1997 entrée en vigueur le 1“ janvier 2000 et le tarif extérieur</w:t>
            </w:r>
          </w:p>
          <w:p>
            <w:pPr>
              <w:pStyle w:val="Normal"/>
              <w:bidi w:val="0"/>
              <w:jc w:val="left"/>
              <w:rPr/>
            </w:pPr>
            <w:r>
              <w:rPr/>
              <w:t>commun de la CEDEAO (pour les produits de la 5ème bande) entrée en vigueur le 1" janvier 2015.</w:t>
            </w:r>
          </w:p>
        </w:tc>
        <w:tc>
          <w:tcPr>
            <w:tcW w:w="2541" w:type="dxa"/>
            <w:tcBorders>
              <w:left w:val="single" w:sz="4" w:space="0" w:color="000000"/>
              <w:bottom w:val="single" w:sz="4" w:space="0" w:color="000000"/>
            </w:tcBorders>
          </w:tcPr>
          <w:p>
            <w:pPr>
              <w:pStyle w:val="Normal"/>
              <w:bidi w:val="0"/>
              <w:jc w:val="left"/>
              <w:rPr/>
            </w:pPr>
            <w:r>
              <w:rPr/>
              <w:t>valeur en douane</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RS</w:t>
            </w:r>
          </w:p>
        </w:tc>
        <w:tc>
          <w:tcPr>
            <w:tcW w:w="3335" w:type="dxa"/>
            <w:tcBorders>
              <w:left w:val="single" w:sz="4" w:space="0" w:color="000000"/>
              <w:bottom w:val="single" w:sz="4" w:space="0" w:color="000000"/>
            </w:tcBorders>
          </w:tcPr>
          <w:p>
            <w:pPr>
              <w:pStyle w:val="Normal"/>
              <w:bidi w:val="0"/>
              <w:jc w:val="left"/>
              <w:rPr/>
            </w:pPr>
            <w:r>
              <w:rPr/>
              <w:t>Redevance statistique</w:t>
            </w:r>
          </w:p>
        </w:tc>
        <w:tc>
          <w:tcPr>
            <w:tcW w:w="2732" w:type="dxa"/>
            <w:tcBorders>
              <w:left w:val="single" w:sz="4" w:space="0" w:color="000000"/>
              <w:bottom w:val="single" w:sz="4" w:space="0" w:color="000000"/>
            </w:tcBorders>
          </w:tcPr>
          <w:p>
            <w:pPr>
              <w:pStyle w:val="Normal"/>
              <w:bidi w:val="0"/>
              <w:jc w:val="left"/>
              <w:rPr/>
            </w:pPr>
            <w:r>
              <w:rPr/>
              <w:t>Elle est régie par le règlement n°02/2000/CM/UEMOA du 29/06/2000 modifiant et complétant le</w:t>
            </w:r>
          </w:p>
          <w:p>
            <w:pPr>
              <w:pStyle w:val="Normal"/>
              <w:bidi w:val="0"/>
              <w:jc w:val="left"/>
              <w:rPr/>
            </w:pPr>
            <w:r>
              <w:rPr/>
              <w:t>règlementn°02/97/CM/UEMOA et entrée ce même 29/06/2000.Elle est due sur les marchandises</w:t>
            </w:r>
          </w:p>
          <w:p>
            <w:pPr>
              <w:pStyle w:val="Normal"/>
              <w:bidi w:val="0"/>
              <w:jc w:val="left"/>
              <w:rPr/>
            </w:pPr>
            <w:r>
              <w:rPr/>
              <w:t>destinées pour la mise à la consommation, celles destinées à l'entrepôt de stockage et celles en transit.</w:t>
            </w:r>
          </w:p>
          <w:p>
            <w:pPr>
              <w:pStyle w:val="Normal"/>
              <w:bidi w:val="0"/>
              <w:jc w:val="left"/>
              <w:rPr/>
            </w:pPr>
            <w:r>
              <w:rPr/>
              <w:tab/>
              <w:tab/>
              <w:t>Cependant,elle est suspendue sur les marchandises transitant sur le territoire togolais à destination du</w:t>
            </w:r>
          </w:p>
          <w:p>
            <w:pPr>
              <w:pStyle w:val="Normal"/>
              <w:bidi w:val="0"/>
              <w:jc w:val="left"/>
              <w:rPr/>
            </w:pPr>
            <w:r>
              <w:rPr/>
              <w:t>Mali,du Niger-et-du Burkina Faso-conformément-aux-ordonnances-n°20 DU 30/06/1975-et-n°35-du-</w:t>
            </w:r>
          </w:p>
          <w:p>
            <w:pPr>
              <w:pStyle w:val="Normal"/>
              <w:bidi w:val="0"/>
              <w:jc w:val="left"/>
              <w:rPr/>
            </w:pPr>
            <w:r>
              <w:rPr/>
              <w:t>08/10/1975.Elle est perçue pour le compte du budget de l'Etat.</w:t>
            </w:r>
          </w:p>
        </w:tc>
        <w:tc>
          <w:tcPr>
            <w:tcW w:w="2541" w:type="dxa"/>
            <w:tcBorders>
              <w:left w:val="single" w:sz="4" w:space="0" w:color="000000"/>
              <w:bottom w:val="single" w:sz="4" w:space="0" w:color="000000"/>
            </w:tcBorders>
          </w:tcPr>
          <w:p>
            <w:pPr>
              <w:pStyle w:val="TableContents"/>
              <w:bidi w:val="0"/>
              <w:jc w:val="left"/>
              <w:rPr>
                <w:lang w:val="fr-FR"/>
              </w:rPr>
            </w:pPr>
            <w:r>
              <w:rPr>
                <w:lang w:val="fr-FR"/>
              </w:rPr>
              <w:t>Valeur en douane</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1 %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PC</w:t>
            </w:r>
          </w:p>
        </w:tc>
        <w:tc>
          <w:tcPr>
            <w:tcW w:w="3335" w:type="dxa"/>
            <w:tcBorders>
              <w:left w:val="single" w:sz="4" w:space="0" w:color="000000"/>
              <w:bottom w:val="single" w:sz="4" w:space="0" w:color="000000"/>
            </w:tcBorders>
          </w:tcPr>
          <w:p>
            <w:pPr>
              <w:pStyle w:val="Normal"/>
              <w:bidi w:val="0"/>
              <w:jc w:val="left"/>
              <w:rPr/>
            </w:pPr>
            <w:r>
              <w:rPr/>
              <w:t>Prélèvement communautaire</w:t>
            </w:r>
          </w:p>
        </w:tc>
        <w:tc>
          <w:tcPr>
            <w:tcW w:w="2732" w:type="dxa"/>
            <w:tcBorders>
              <w:left w:val="single" w:sz="4" w:space="0" w:color="000000"/>
              <w:bottom w:val="single" w:sz="4" w:space="0" w:color="000000"/>
            </w:tcBorders>
          </w:tcPr>
          <w:p>
            <w:pPr>
              <w:pStyle w:val="Normal"/>
              <w:bidi w:val="0"/>
              <w:jc w:val="left"/>
              <w:rPr/>
            </w:pPr>
            <w:r>
              <w:rPr/>
              <w:t>C'est une taxe percue au profit de la CEDEAO. Elle est prévue par le protocole A/P1/7/96 du 27/07/1996 relatif aux conditions d'application du prélèvement communautaire (art.72 du traité de la CEDEAO);la résolution CRES du 02/09/2003 relative à la possibilité pour certains Etats membres de relever le taux du P.C. et depuis le 01/01/2015 par le Tarif extérieur commun de la CEDEAO.</w:t>
            </w:r>
          </w:p>
        </w:tc>
        <w:tc>
          <w:tcPr>
            <w:tcW w:w="2541" w:type="dxa"/>
            <w:tcBorders>
              <w:left w:val="single" w:sz="4" w:space="0" w:color="000000"/>
              <w:bottom w:val="single" w:sz="4" w:space="0" w:color="000000"/>
            </w:tcBorders>
          </w:tcPr>
          <w:p>
            <w:pPr>
              <w:pStyle w:val="Normal"/>
              <w:bidi w:val="0"/>
              <w:jc w:val="left"/>
              <w:rPr/>
            </w:pPr>
            <w:r>
              <w:rPr/>
              <w:t>valeur en douane</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O.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PUA</w:t>
            </w:r>
          </w:p>
        </w:tc>
        <w:tc>
          <w:tcPr>
            <w:tcW w:w="3335" w:type="dxa"/>
            <w:tcBorders>
              <w:left w:val="single" w:sz="4" w:space="0" w:color="000000"/>
              <w:bottom w:val="single" w:sz="4" w:space="0" w:color="000000"/>
            </w:tcBorders>
          </w:tcPr>
          <w:p>
            <w:pPr>
              <w:pStyle w:val="Normal"/>
              <w:bidi w:val="0"/>
              <w:jc w:val="left"/>
              <w:rPr/>
            </w:pPr>
            <w:r>
              <w:rPr/>
              <w:t>Prélèvement de I'union africaine</w:t>
            </w:r>
          </w:p>
        </w:tc>
        <w:tc>
          <w:tcPr>
            <w:tcW w:w="2732" w:type="dxa"/>
            <w:tcBorders>
              <w:left w:val="single" w:sz="4" w:space="0" w:color="000000"/>
              <w:bottom w:val="single" w:sz="4" w:space="0" w:color="000000"/>
            </w:tcBorders>
          </w:tcPr>
          <w:p>
            <w:pPr>
              <w:pStyle w:val="Normal"/>
              <w:bidi w:val="0"/>
              <w:jc w:val="left"/>
              <w:rPr/>
            </w:pPr>
            <w:r>
              <w:rPr/>
              <w:t>Cette taxe est introduite au Togo à partir de la loi de Finance gestion 2018 en son article4. Elle est percue pour le compte de l'union africaine.</w:t>
            </w:r>
          </w:p>
        </w:tc>
        <w:tc>
          <w:tcPr>
            <w:tcW w:w="2541" w:type="dxa"/>
            <w:tcBorders>
              <w:left w:val="single" w:sz="4" w:space="0" w:color="000000"/>
              <w:bottom w:val="single" w:sz="4" w:space="0" w:color="000000"/>
            </w:tcBorders>
          </w:tcPr>
          <w:p>
            <w:pPr>
              <w:pStyle w:val="Normal"/>
              <w:bidi w:val="0"/>
              <w:jc w:val="left"/>
              <w:rPr/>
            </w:pPr>
            <w:r>
              <w:rPr/>
              <w:t>L'assiette de taxation est constituée de la valeur en douane des marchandises importées, originaires de pays tiers à l'union et mises à la consommation au Togo.</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0.2 %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PNS</w:t>
            </w:r>
          </w:p>
        </w:tc>
        <w:tc>
          <w:tcPr>
            <w:tcW w:w="3335" w:type="dxa"/>
            <w:tcBorders>
              <w:left w:val="single" w:sz="4" w:space="0" w:color="000000"/>
              <w:bottom w:val="single" w:sz="4" w:space="0" w:color="000000"/>
            </w:tcBorders>
          </w:tcPr>
          <w:p>
            <w:pPr>
              <w:pStyle w:val="Normal"/>
              <w:bidi w:val="0"/>
              <w:jc w:val="left"/>
              <w:rPr/>
            </w:pPr>
            <w:r>
              <w:rPr/>
              <w:t>Prélèvement national de solidarité</w:t>
            </w:r>
          </w:p>
        </w:tc>
        <w:tc>
          <w:tcPr>
            <w:tcW w:w="2732" w:type="dxa"/>
            <w:tcBorders>
              <w:left w:val="single" w:sz="4" w:space="0" w:color="000000"/>
              <w:bottom w:val="single" w:sz="4" w:space="0" w:color="000000"/>
            </w:tcBorders>
          </w:tcPr>
          <w:p>
            <w:pPr>
              <w:pStyle w:val="Normal"/>
              <w:bidi w:val="0"/>
              <w:jc w:val="left"/>
              <w:rPr/>
            </w:pPr>
            <w:r>
              <w:rPr/>
              <w:t>Cette taxe est prévue par le tarif extérieur commun de la CEDEAO et percue au cordon douanier</w:t>
            </w:r>
          </w:p>
          <w:p>
            <w:pPr>
              <w:pStyle w:val="Normal"/>
              <w:bidi w:val="0"/>
              <w:jc w:val="left"/>
              <w:rPr/>
            </w:pPr>
            <w:r>
              <w:rPr/>
              <w:t>depuis le 01/01/2015 sur les marchandises importées pour la mise à la consommation sur le territoire</w:t>
            </w:r>
          </w:p>
          <w:p>
            <w:pPr>
              <w:pStyle w:val="Normal"/>
              <w:bidi w:val="0"/>
              <w:jc w:val="left"/>
              <w:rPr/>
            </w:pPr>
            <w:r>
              <w:rPr/>
              <w:t>douanier togolais.</w:t>
            </w:r>
          </w:p>
        </w:tc>
        <w:tc>
          <w:tcPr>
            <w:tcW w:w="2541" w:type="dxa"/>
            <w:tcBorders>
              <w:left w:val="single" w:sz="4" w:space="0" w:color="000000"/>
              <w:bottom w:val="single" w:sz="4" w:space="0" w:color="000000"/>
            </w:tcBorders>
          </w:tcPr>
          <w:p>
            <w:pPr>
              <w:pStyle w:val="Normal"/>
              <w:bidi w:val="0"/>
              <w:jc w:val="left"/>
              <w:rPr/>
            </w:pPr>
            <w:r>
              <w:rPr/>
              <w:t>valeur en douane des marchandises importées pour être mises à la consommation sur le territoire douanier togolais.</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0.5 %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PCS</w:t>
            </w:r>
          </w:p>
        </w:tc>
        <w:tc>
          <w:tcPr>
            <w:tcW w:w="3335" w:type="dxa"/>
            <w:tcBorders>
              <w:left w:val="single" w:sz="4" w:space="0" w:color="000000"/>
              <w:bottom w:val="single" w:sz="4" w:space="0" w:color="000000"/>
            </w:tcBorders>
          </w:tcPr>
          <w:p>
            <w:pPr>
              <w:pStyle w:val="Normal"/>
              <w:bidi w:val="0"/>
              <w:jc w:val="left"/>
              <w:rPr/>
            </w:pPr>
            <w:r>
              <w:rPr/>
              <w:t>Prélèvement communautaire de solidarité</w:t>
            </w:r>
          </w:p>
        </w:tc>
        <w:tc>
          <w:tcPr>
            <w:tcW w:w="2732" w:type="dxa"/>
            <w:tcBorders>
              <w:left w:val="single" w:sz="4" w:space="0" w:color="000000"/>
              <w:bottom w:val="single" w:sz="4" w:space="0" w:color="000000"/>
            </w:tcBorders>
          </w:tcPr>
          <w:p>
            <w:pPr>
              <w:pStyle w:val="Normal"/>
              <w:bidi w:val="0"/>
              <w:jc w:val="left"/>
              <w:rPr/>
            </w:pPr>
            <w:r>
              <w:rPr/>
              <w:t>Le prélèvement communautaire de solidarité est prévu par la note circulaire n°018/MEF/CAB du 27/06/1996 à l'attention des receveurs des douanes et des agents des douanes accomplissant le rôle de comptables publics et l'acte additionnel n°03/2017/CCEG/UEMOA.</w:t>
            </w:r>
          </w:p>
          <w:p>
            <w:pPr>
              <w:pStyle w:val="Normal"/>
              <w:bidi w:val="0"/>
              <w:jc w:val="left"/>
              <w:rPr/>
            </w:pPr>
            <w:r>
              <w:rPr/>
              <w:tab/>
              <w:tab/>
              <w:tab/>
              <w:t>Elle est percue au profit de I'Union Economique el Monétaire Ouest Africaine (UEMOA).</w:t>
            </w:r>
          </w:p>
        </w:tc>
        <w:tc>
          <w:tcPr>
            <w:tcW w:w="2541" w:type="dxa"/>
            <w:tcBorders>
              <w:left w:val="single" w:sz="4" w:space="0" w:color="000000"/>
              <w:bottom w:val="single" w:sz="4" w:space="0" w:color="000000"/>
            </w:tcBorders>
          </w:tcPr>
          <w:p>
            <w:pPr>
              <w:pStyle w:val="Normal"/>
              <w:bidi w:val="0"/>
              <w:jc w:val="left"/>
              <w:rPr/>
            </w:pPr>
            <w:r>
              <w:rPr/>
              <w:t xml:space="preserve"> </w:t>
            </w:r>
            <w:r>
              <w:rPr/>
              <w:t>la valeur en douane des marchandises importées destinées pour la mise à la consommation sur le territoire douanier togolais.</w:t>
            </w:r>
          </w:p>
        </w:tc>
        <w:tc>
          <w:tcPr>
            <w:tcW w:w="3582" w:type="dxa"/>
            <w:tcBorders>
              <w:left w:val="single" w:sz="4" w:space="0" w:color="000000"/>
              <w:bottom w:val="single" w:sz="4" w:space="0" w:color="000000"/>
              <w:right w:val="single" w:sz="4" w:space="0" w:color="000000"/>
            </w:tcBorders>
          </w:tcPr>
          <w:p>
            <w:pPr>
              <w:pStyle w:val="Normal"/>
              <w:bidi w:val="0"/>
              <w:jc w:val="left"/>
              <w:rPr/>
            </w:pPr>
            <w:r>
              <w:rPr/>
              <w:t>Son taux qui était de 1% depuis sa mise en place le 27/06/1996 est ramené à 0.5% depuis le 01/01/2015 puis passé actuellement à 0.8% depuis le 01/07/2017.</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TPI</w:t>
            </w:r>
          </w:p>
        </w:tc>
        <w:tc>
          <w:tcPr>
            <w:tcW w:w="3335" w:type="dxa"/>
            <w:tcBorders>
              <w:left w:val="single" w:sz="4" w:space="0" w:color="000000"/>
              <w:bottom w:val="single" w:sz="4" w:space="0" w:color="000000"/>
            </w:tcBorders>
          </w:tcPr>
          <w:p>
            <w:pPr>
              <w:pStyle w:val="Normal"/>
              <w:bidi w:val="0"/>
              <w:jc w:val="left"/>
              <w:rPr/>
            </w:pPr>
            <w:r>
              <w:rPr/>
              <w:t>Taxe de protction des infrastructures</w:t>
            </w:r>
          </w:p>
        </w:tc>
        <w:tc>
          <w:tcPr>
            <w:tcW w:w="2732" w:type="dxa"/>
            <w:tcBorders>
              <w:left w:val="single" w:sz="4" w:space="0" w:color="000000"/>
              <w:bottom w:val="single" w:sz="4" w:space="0" w:color="000000"/>
            </w:tcBorders>
          </w:tcPr>
          <w:p>
            <w:pPr>
              <w:pStyle w:val="Normal"/>
              <w:bidi w:val="0"/>
              <w:jc w:val="left"/>
              <w:rPr/>
            </w:pPr>
            <w:r>
              <w:rPr/>
              <w:t>Elle est régie par la décision n°0072/MEF/AD/DG du 19/01/1996 portant aménagement de diverses taxes;la note de service n°012/AD/DG du 06/02/2001.</w:t>
            </w:r>
          </w:p>
        </w:tc>
        <w:tc>
          <w:tcPr>
            <w:tcW w:w="2541" w:type="dxa"/>
            <w:tcBorders>
              <w:left w:val="single" w:sz="4" w:space="0" w:color="000000"/>
              <w:bottom w:val="single" w:sz="4" w:space="0" w:color="000000"/>
            </w:tcBorders>
          </w:tcPr>
          <w:p>
            <w:pPr>
              <w:pStyle w:val="Normal"/>
              <w:bidi w:val="0"/>
              <w:jc w:val="left"/>
              <w:rPr/>
            </w:pPr>
            <w:r>
              <w:rPr/>
              <w:t>Elle est percue sur la tonne indivisible sur toutes importations de marchandises destinées pour la mise à la consommation sur le territoire douanier togolais à I'exception des marchandises destinées aux missions diplomatiques et consulaires.</w:t>
            </w:r>
          </w:p>
        </w:tc>
        <w:tc>
          <w:tcPr>
            <w:tcW w:w="3582" w:type="dxa"/>
            <w:tcBorders>
              <w:left w:val="single" w:sz="4" w:space="0" w:color="000000"/>
              <w:bottom w:val="single" w:sz="4" w:space="0" w:color="000000"/>
              <w:right w:val="single" w:sz="4" w:space="0" w:color="000000"/>
            </w:tcBorders>
          </w:tcPr>
          <w:p>
            <w:pPr>
              <w:pStyle w:val="Normal"/>
              <w:bidi w:val="0"/>
              <w:jc w:val="left"/>
              <w:rPr/>
            </w:pPr>
            <w:r>
              <w:rPr/>
              <w:t>La quotité est de 2000Fcfa la tonne indivisible</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TPE</w:t>
            </w:r>
          </w:p>
        </w:tc>
        <w:tc>
          <w:tcPr>
            <w:tcW w:w="3335" w:type="dxa"/>
            <w:tcBorders>
              <w:left w:val="single" w:sz="4" w:space="0" w:color="000000"/>
              <w:bottom w:val="single" w:sz="4" w:space="0" w:color="000000"/>
            </w:tcBorders>
          </w:tcPr>
          <w:p>
            <w:pPr>
              <w:pStyle w:val="Normal"/>
              <w:bidi w:val="0"/>
              <w:jc w:val="left"/>
              <w:rPr/>
            </w:pPr>
            <w:r>
              <w:rPr/>
              <w:t>Taxe de péage à I'entrée</w:t>
            </w:r>
          </w:p>
        </w:tc>
        <w:tc>
          <w:tcPr>
            <w:tcW w:w="2732" w:type="dxa"/>
            <w:tcBorders>
              <w:left w:val="single" w:sz="4" w:space="0" w:color="000000"/>
              <w:bottom w:val="single" w:sz="4" w:space="0" w:color="000000"/>
            </w:tcBorders>
          </w:tcPr>
          <w:p>
            <w:pPr>
              <w:pStyle w:val="Normal"/>
              <w:bidi w:val="0"/>
              <w:jc w:val="left"/>
              <w:rPr/>
            </w:pPr>
            <w:r>
              <w:rPr/>
              <w:t>Elle est instituée par l'arrêté municipal n°41/ML du 31/12/1960 et la loi de finances gestion 1978 en son article 03.</w:t>
            </w:r>
          </w:p>
        </w:tc>
        <w:tc>
          <w:tcPr>
            <w:tcW w:w="2541" w:type="dxa"/>
            <w:tcBorders>
              <w:left w:val="single" w:sz="4" w:space="0" w:color="000000"/>
              <w:bottom w:val="single" w:sz="4" w:space="0" w:color="000000"/>
            </w:tcBorders>
          </w:tcPr>
          <w:p>
            <w:pPr>
              <w:pStyle w:val="Normal"/>
              <w:bidi w:val="0"/>
              <w:jc w:val="left"/>
              <w:rPr/>
            </w:pPr>
            <w:r>
              <w:rPr/>
              <w:t>La base de perception est la tonne indivisible sur l'importation des marchandises en transit (IM8)et</w:t>
            </w:r>
          </w:p>
          <w:p>
            <w:pPr>
              <w:pStyle w:val="Normal"/>
              <w:bidi w:val="0"/>
              <w:jc w:val="left"/>
              <w:rPr/>
            </w:pPr>
            <w:r>
              <w:rPr/>
              <w:t>celles destinées aux missions diplomatiques et organismes assimilés (IM4), ainsi que les</w:t>
            </w:r>
          </w:p>
          <w:p>
            <w:pPr>
              <w:pStyle w:val="Normal"/>
              <w:bidi w:val="0"/>
              <w:jc w:val="left"/>
              <w:rPr/>
            </w:pPr>
            <w:r>
              <w:rPr/>
              <w:t>marchandises en admission temporaire simple (IM5) et celles en entrepôt (IM7).</w:t>
            </w:r>
          </w:p>
        </w:tc>
        <w:tc>
          <w:tcPr>
            <w:tcW w:w="3582" w:type="dxa"/>
            <w:tcBorders>
              <w:left w:val="single" w:sz="4" w:space="0" w:color="000000"/>
              <w:bottom w:val="single" w:sz="4" w:space="0" w:color="000000"/>
              <w:right w:val="single" w:sz="4" w:space="0" w:color="000000"/>
            </w:tcBorders>
          </w:tcPr>
          <w:p>
            <w:pPr>
              <w:pStyle w:val="Normal"/>
              <w:bidi w:val="0"/>
              <w:jc w:val="left"/>
              <w:rPr/>
            </w:pPr>
            <w:r>
              <w:rPr/>
              <w:t>La quotité est de 200Fcfa par tonne indivisible</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ADA</w:t>
            </w:r>
          </w:p>
        </w:tc>
        <w:tc>
          <w:tcPr>
            <w:tcW w:w="3335" w:type="dxa"/>
            <w:tcBorders>
              <w:left w:val="single" w:sz="4" w:space="0" w:color="000000"/>
              <w:bottom w:val="single" w:sz="4" w:space="0" w:color="000000"/>
            </w:tcBorders>
          </w:tcPr>
          <w:p>
            <w:pPr>
              <w:pStyle w:val="Normal"/>
              <w:bidi w:val="0"/>
              <w:jc w:val="left"/>
              <w:rPr/>
            </w:pPr>
            <w:r>
              <w:rPr/>
              <w:t>Autres Droits d’Acises ou Droit de consommation (DC)</w:t>
            </w:r>
          </w:p>
        </w:tc>
        <w:tc>
          <w:tcPr>
            <w:tcW w:w="2732" w:type="dxa"/>
            <w:tcBorders>
              <w:left w:val="single" w:sz="4" w:space="0" w:color="000000"/>
              <w:bottom w:val="single" w:sz="4" w:space="0" w:color="000000"/>
            </w:tcBorders>
          </w:tcPr>
          <w:p>
            <w:pPr>
              <w:pStyle w:val="Normal"/>
              <w:bidi w:val="0"/>
              <w:jc w:val="left"/>
              <w:rPr/>
            </w:pPr>
            <w:r>
              <w:rPr/>
              <w:t>Elles sont régies par les dispositions du nouveau code général des impôts (CGI) pour compter du 01/01/2019.Elles sont percues sur les produits dont la consommation est nuisible pour la santé tels que le tabac et les boissons alcoolisées et sur certains biens tels que les véhicules de tourisme dont la puissance est supérieure ou égale à 13 chevaux-vapeur (CV).</w:t>
            </w:r>
          </w:p>
        </w:tc>
        <w:tc>
          <w:tcPr>
            <w:tcW w:w="2541" w:type="dxa"/>
            <w:tcBorders>
              <w:left w:val="single" w:sz="4" w:space="0" w:color="000000"/>
              <w:bottom w:val="single" w:sz="4" w:space="0" w:color="000000"/>
            </w:tcBorders>
          </w:tcPr>
          <w:p>
            <w:pPr>
              <w:pStyle w:val="Normal"/>
              <w:bidi w:val="0"/>
              <w:jc w:val="left"/>
              <w:rPr/>
            </w:pPr>
            <w:r>
              <w:rPr/>
              <w:t>La base d'imposition de cette taxe est constituée de la valeur en douane des marchandises importées</w:t>
            </w:r>
          </w:p>
          <w:p>
            <w:pPr>
              <w:pStyle w:val="Normal"/>
              <w:bidi w:val="0"/>
              <w:jc w:val="left"/>
              <w:rPr/>
            </w:pPr>
            <w:r>
              <w:rPr/>
              <w:t>pour la mise à la consommation ajouté des droits et taxes précédemment liquidés c'est-à-dire DD, RS, PI, PCS, PC,PUA et le PNS.</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 boissons non alcoolisées à l’exclusion de l’eau, vehicule de tourisme dont la puissance fiscale &gt;=13 chevaux : 5 %</w:t>
            </w:r>
          </w:p>
          <w:p>
            <w:pPr>
              <w:pStyle w:val="TableContents"/>
              <w:bidi w:val="0"/>
              <w:jc w:val="left"/>
              <w:rPr>
                <w:lang w:val="fr-FR"/>
              </w:rPr>
            </w:pPr>
            <w:r>
              <w:rPr>
                <w:lang w:val="fr-FR"/>
              </w:rPr>
              <w:t>bierres alcoolisées : 18 %</w:t>
            </w:r>
          </w:p>
          <w:p>
            <w:pPr>
              <w:pStyle w:val="TableContents"/>
              <w:bidi w:val="0"/>
              <w:jc w:val="left"/>
              <w:rPr>
                <w:lang w:val="fr-FR"/>
              </w:rPr>
            </w:pPr>
            <w:r>
              <w:rPr>
                <w:lang w:val="fr-FR"/>
              </w:rPr>
              <w:t>- autres boissons alccolisés, tabacs :  50 %</w:t>
            </w:r>
          </w:p>
          <w:p>
            <w:pPr>
              <w:pStyle w:val="TableContents"/>
              <w:bidi w:val="0"/>
              <w:jc w:val="left"/>
              <w:rPr>
                <w:lang w:val="fr-FR"/>
              </w:rPr>
            </w:pPr>
            <w:r>
              <w:rPr>
                <w:lang w:val="fr-FR"/>
              </w:rPr>
              <w:t>Farine de blé, huile et corps gras alimentaire : 1 %</w:t>
            </w:r>
          </w:p>
          <w:p>
            <w:pPr>
              <w:pStyle w:val="TableContents"/>
              <w:bidi w:val="0"/>
              <w:jc w:val="left"/>
              <w:rPr>
                <w:lang w:val="fr-FR"/>
              </w:rPr>
            </w:pPr>
            <w:r>
              <w:rPr>
                <w:lang w:val="fr-FR"/>
              </w:rPr>
              <w:t>- Café, thé : 10 %</w:t>
            </w:r>
          </w:p>
          <w:p>
            <w:pPr>
              <w:pStyle w:val="TableContents"/>
              <w:bidi w:val="0"/>
              <w:jc w:val="left"/>
              <w:rPr>
                <w:lang w:val="fr-FR"/>
              </w:rPr>
            </w:pPr>
            <w:r>
              <w:rPr>
                <w:lang w:val="fr-FR"/>
              </w:rPr>
              <w:t>produits de parfumerie et cosmetiques : 15 %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DAPP</w:t>
            </w:r>
          </w:p>
        </w:tc>
        <w:tc>
          <w:tcPr>
            <w:tcW w:w="3335" w:type="dxa"/>
            <w:tcBorders>
              <w:left w:val="single" w:sz="4" w:space="0" w:color="000000"/>
              <w:bottom w:val="single" w:sz="4" w:space="0" w:color="000000"/>
            </w:tcBorders>
          </w:tcPr>
          <w:p>
            <w:pPr>
              <w:pStyle w:val="Normal"/>
              <w:bidi w:val="0"/>
              <w:rPr/>
            </w:pPr>
            <w:r>
              <w:rPr/>
              <w:t xml:space="preserve">Droits d'accises sur les produits pétroliers </w:t>
            </w:r>
          </w:p>
        </w:tc>
        <w:tc>
          <w:tcPr>
            <w:tcW w:w="2732" w:type="dxa"/>
            <w:tcBorders>
              <w:left w:val="single" w:sz="4" w:space="0" w:color="000000"/>
              <w:bottom w:val="single" w:sz="4" w:space="0" w:color="000000"/>
            </w:tcBorders>
          </w:tcPr>
          <w:p>
            <w:pPr>
              <w:pStyle w:val="Normal"/>
              <w:bidi w:val="0"/>
              <w:rPr/>
            </w:pPr>
            <w:r>
              <w:rPr/>
              <w:t>Les droits d'accises sur les produits pétroliers sont contenus dans le code général des impôts</w:t>
            </w:r>
          </w:p>
          <w:p>
            <w:pPr>
              <w:pStyle w:val="Normal"/>
              <w:bidi w:val="0"/>
              <w:rPr/>
            </w:pPr>
            <w:r>
              <w:rPr/>
              <w:t>notamment en ses articles 240 à 242. Ils sont percus sur les carburants, les graisses, les bitumes et sur</w:t>
            </w:r>
          </w:p>
          <w:p>
            <w:pPr>
              <w:pStyle w:val="Normal"/>
              <w:bidi w:val="0"/>
              <w:rPr/>
            </w:pPr>
            <w:r>
              <w:rPr/>
              <w:t>d'autres produits pétroliers.</w:t>
            </w:r>
          </w:p>
        </w:tc>
        <w:tc>
          <w:tcPr>
            <w:tcW w:w="2541" w:type="dxa"/>
            <w:tcBorders>
              <w:left w:val="single" w:sz="4" w:space="0" w:color="000000"/>
              <w:bottom w:val="single" w:sz="4" w:space="0" w:color="000000"/>
            </w:tcBorders>
          </w:tcPr>
          <w:p>
            <w:pPr>
              <w:pStyle w:val="Normal"/>
              <w:bidi w:val="0"/>
              <w:rPr/>
            </w:pPr>
            <w:r>
              <w:rPr/>
              <w:t>L'unité de calcul des droits d'accises sur les produits pétroliers est le kilogramme (KG) sur les graisses et le litre (L) pour les autres produits.</w:t>
            </w:r>
          </w:p>
        </w:tc>
        <w:tc>
          <w:tcPr>
            <w:tcW w:w="3582" w:type="dxa"/>
            <w:tcBorders>
              <w:left w:val="single" w:sz="4" w:space="0" w:color="000000"/>
              <w:bottom w:val="single" w:sz="4" w:space="0" w:color="000000"/>
              <w:right w:val="single" w:sz="4" w:space="0" w:color="000000"/>
            </w:tcBorders>
          </w:tcPr>
          <w:p>
            <w:pPr>
              <w:pStyle w:val="Normal"/>
              <w:bidi w:val="0"/>
              <w:rPr/>
            </w:pPr>
            <w:r>
              <w:rPr/>
              <w:t>-Supercarburant sans plomb...57.76F/L</w:t>
            </w:r>
          </w:p>
          <w:p>
            <w:pPr>
              <w:pStyle w:val="Normal"/>
              <w:bidi w:val="0"/>
              <w:rPr/>
            </w:pPr>
            <w:r>
              <w:rPr/>
              <w:t>- Gas-oil...48.06F/L</w:t>
            </w:r>
          </w:p>
          <w:p>
            <w:pPr>
              <w:pStyle w:val="Normal"/>
              <w:bidi w:val="0"/>
              <w:rPr/>
            </w:pPr>
            <w:r>
              <w:rPr/>
              <w:t>- Essence d'avion et carburéacteur...59.99F/L</w:t>
            </w:r>
          </w:p>
          <w:p>
            <w:pPr>
              <w:pStyle w:val="Normal"/>
              <w:bidi w:val="0"/>
              <w:rPr/>
            </w:pPr>
            <w:r>
              <w:rPr/>
              <w:t>- Pétrole lampant à usage domestique ..0F</w:t>
            </w:r>
          </w:p>
          <w:p>
            <w:pPr>
              <w:pStyle w:val="Normal"/>
              <w:bidi w:val="0"/>
              <w:rPr/>
            </w:pPr>
            <w:r>
              <w:rPr/>
              <w:t>-Fuel,fuel-oil domestique.....15F/L</w:t>
            </w:r>
          </w:p>
          <w:p>
            <w:pPr>
              <w:pStyle w:val="Normal"/>
              <w:bidi w:val="0"/>
              <w:rPr/>
            </w:pPr>
            <w:r>
              <w:rPr/>
              <w:t>- Fuel-oil léger,fuel-oil lourd1,fuel-oil lourd2 .....15F/L</w:t>
            </w:r>
          </w:p>
          <w:p>
            <w:pPr>
              <w:pStyle w:val="Normal"/>
              <w:bidi w:val="0"/>
              <w:rPr/>
            </w:pPr>
            <w:r>
              <w:rPr/>
              <w:t>- Huile lubrifiante..50F/L</w:t>
            </w:r>
          </w:p>
          <w:p>
            <w:pPr>
              <w:pStyle w:val="Normal"/>
              <w:bidi w:val="0"/>
              <w:rPr/>
            </w:pPr>
            <w:r>
              <w:rPr/>
              <w:t>Graisse...60F/KG</w:t>
            </w:r>
          </w:p>
          <w:p>
            <w:pPr>
              <w:pStyle w:val="Normal"/>
              <w:bidi w:val="0"/>
              <w:rPr/>
            </w:pPr>
            <w:r>
              <w:rPr/>
              <w:t>- Gaz de pétrole liquéfié (butane)..0F</w:t>
            </w:r>
          </w:p>
          <w:p>
            <w:pPr>
              <w:pStyle w:val="Normal"/>
              <w:bidi w:val="0"/>
              <w:rPr/>
            </w:pPr>
            <w:r>
              <w:rPr/>
              <w:t>Biocarburant...0F</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TVA</w:t>
            </w:r>
          </w:p>
        </w:tc>
        <w:tc>
          <w:tcPr>
            <w:tcW w:w="3335" w:type="dxa"/>
            <w:tcBorders>
              <w:left w:val="single" w:sz="4" w:space="0" w:color="000000"/>
              <w:bottom w:val="single" w:sz="4" w:space="0" w:color="000000"/>
            </w:tcBorders>
          </w:tcPr>
          <w:p>
            <w:pPr>
              <w:pStyle w:val="Normal"/>
              <w:bidi w:val="0"/>
              <w:rPr/>
            </w:pPr>
            <w:r>
              <w:rPr/>
              <w:t>Taxe sur la valeur ajoutée</w:t>
            </w:r>
          </w:p>
        </w:tc>
        <w:tc>
          <w:tcPr>
            <w:tcW w:w="2732" w:type="dxa"/>
            <w:tcBorders>
              <w:left w:val="single" w:sz="4" w:space="0" w:color="000000"/>
              <w:bottom w:val="single" w:sz="4" w:space="0" w:color="000000"/>
            </w:tcBorders>
          </w:tcPr>
          <w:p>
            <w:pPr>
              <w:pStyle w:val="Normal"/>
              <w:bidi w:val="0"/>
              <w:rPr/>
            </w:pPr>
            <w:r>
              <w:rPr/>
              <w:t xml:space="preserve">Le fonctionnement de la TVA est régi par les dispositions de la loi 2018-024 portant Code Général </w:t>
              <w:tab/>
              <w:tab/>
              <w:t>des Impôts promulguée le 20 novembre 2018 puis entrée en vigueur le 1e janvier 2019.</w:t>
            </w:r>
          </w:p>
        </w:tc>
        <w:tc>
          <w:tcPr>
            <w:tcW w:w="2541" w:type="dxa"/>
            <w:tcBorders>
              <w:left w:val="single" w:sz="4" w:space="0" w:color="000000"/>
              <w:bottom w:val="single" w:sz="4" w:space="0" w:color="000000"/>
            </w:tcBorders>
          </w:tcPr>
          <w:p>
            <w:pPr>
              <w:pStyle w:val="Normal"/>
              <w:bidi w:val="0"/>
              <w:rPr/>
            </w:pPr>
            <w:r>
              <w:rPr/>
              <w:t>La base d'imposition de la T.V.A. est constituée de la valeur en douane des marchandises importées</w:t>
            </w:r>
          </w:p>
          <w:p>
            <w:pPr>
              <w:pStyle w:val="Normal"/>
              <w:bidi w:val="0"/>
              <w:rPr/>
            </w:pPr>
            <w:r>
              <w:rPr/>
              <w:t>pour la mise à la -consommation ajouté des droits-et -taxes précédemment liquidés c'est-à-dire-les</w:t>
            </w:r>
          </w:p>
          <w:p>
            <w:pPr>
              <w:pStyle w:val="Normal"/>
              <w:bidi w:val="0"/>
              <w:rPr/>
            </w:pPr>
            <w:r>
              <w:rPr/>
              <w:t>droits de douane (DD), la redevance statistique (RS), la taxe de protection des infrastructures (TPI), le</w:t>
            </w:r>
          </w:p>
          <w:p>
            <w:pPr>
              <w:pStyle w:val="Normal"/>
              <w:bidi w:val="0"/>
              <w:rPr/>
            </w:pPr>
            <w:r>
              <w:rPr/>
              <w:t>prélèvement communautaire de solidarité (PCS), le prélèvement communautaire (PC),le prélèvement</w:t>
            </w:r>
          </w:p>
          <w:p>
            <w:pPr>
              <w:pStyle w:val="Normal"/>
              <w:bidi w:val="0"/>
              <w:rPr/>
            </w:pPr>
            <w:r>
              <w:rPr/>
              <w:t>de l'union africaine (PUA), le prélèvement national de solidarité (PNS) et le droit de consommation</w:t>
            </w:r>
          </w:p>
          <w:p>
            <w:pPr>
              <w:pStyle w:val="Normal"/>
              <w:bidi w:val="0"/>
              <w:rPr/>
            </w:pPr>
            <w:r>
              <w:rPr/>
              <w:t>ou autres droits d'accises (D.C./A.D.A.)</w:t>
            </w:r>
          </w:p>
          <w:p>
            <w:pPr>
              <w:pStyle w:val="Normal"/>
              <w:bidi w:val="0"/>
              <w:rPr/>
            </w:pPr>
            <w:r>
              <w:rPr/>
              <w:t>Base TVA=Valeur en douane+DD+RS+TPI+PCS+PC+PUA+PNS+DC/ADA</w:t>
            </w:r>
          </w:p>
        </w:tc>
        <w:tc>
          <w:tcPr>
            <w:tcW w:w="3582" w:type="dxa"/>
            <w:tcBorders>
              <w:left w:val="single" w:sz="4" w:space="0" w:color="000000"/>
              <w:bottom w:val="single" w:sz="4" w:space="0" w:color="000000"/>
              <w:right w:val="single" w:sz="4" w:space="0" w:color="000000"/>
            </w:tcBorders>
          </w:tcPr>
          <w:p>
            <w:pPr>
              <w:pStyle w:val="Normal"/>
              <w:bidi w:val="0"/>
              <w:rPr/>
            </w:pPr>
            <w:r>
              <w:rPr/>
              <w:t>Le taux de la TVA en vigueur depuis le 1er janvier 2019 est un taux unique de 18% applicable sur toute importation des marchandises pour la mise à la consommation au Togo à l'exclusion des exonérations prévues aux articles 180 et 181 du code général des impôts.</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BIC</w:t>
            </w:r>
          </w:p>
        </w:tc>
        <w:tc>
          <w:tcPr>
            <w:tcW w:w="3335" w:type="dxa"/>
            <w:tcBorders>
              <w:left w:val="single" w:sz="4" w:space="0" w:color="000000"/>
              <w:bottom w:val="single" w:sz="4" w:space="0" w:color="000000"/>
            </w:tcBorders>
          </w:tcPr>
          <w:p>
            <w:pPr>
              <w:pStyle w:val="Normal"/>
              <w:bidi w:val="0"/>
              <w:rPr/>
            </w:pPr>
            <w:r>
              <w:rPr/>
              <w:t xml:space="preserve">Bénéfice industriel et commercial </w:t>
            </w:r>
          </w:p>
        </w:tc>
        <w:tc>
          <w:tcPr>
            <w:tcW w:w="2732" w:type="dxa"/>
            <w:tcBorders>
              <w:left w:val="single" w:sz="4" w:space="0" w:color="000000"/>
              <w:bottom w:val="single" w:sz="4" w:space="0" w:color="000000"/>
            </w:tcBorders>
          </w:tcPr>
          <w:p>
            <w:pPr>
              <w:pStyle w:val="Normal"/>
              <w:bidi w:val="0"/>
              <w:rPr/>
            </w:pPr>
            <w:r>
              <w:rPr/>
              <w:t>Cet impôt est introduit à partir de l'ordonnance n°93-005 du 28/07/1993 portant loi de finances gestion 1993 puis régi par les dispositions de la loi n°96-005 du 08/03/1996 portant loi de finanes pour la gestion 1996, la note de service n°016/AD/DG du 03/06/1996et la loi de finances gestion 2014.</w:t>
            </w:r>
          </w:p>
        </w:tc>
        <w:tc>
          <w:tcPr>
            <w:tcW w:w="2541" w:type="dxa"/>
            <w:tcBorders>
              <w:left w:val="single" w:sz="4" w:space="0" w:color="000000"/>
              <w:bottom w:val="single" w:sz="4" w:space="0" w:color="000000"/>
            </w:tcBorders>
          </w:tcPr>
          <w:p>
            <w:pPr>
              <w:pStyle w:val="Normal"/>
              <w:bidi w:val="0"/>
              <w:rPr/>
            </w:pPr>
            <w:r>
              <w:rPr/>
              <w:t>Base B.I.C.=Valeur en douane+DD+RS+TPI+PCS+PC+PUA+PNS+DC/ADA</w:t>
            </w:r>
          </w:p>
        </w:tc>
        <w:tc>
          <w:tcPr>
            <w:tcW w:w="3582" w:type="dxa"/>
            <w:tcBorders>
              <w:left w:val="single" w:sz="4" w:space="0" w:color="000000"/>
              <w:bottom w:val="single" w:sz="4" w:space="0" w:color="000000"/>
              <w:right w:val="single" w:sz="4" w:space="0" w:color="000000"/>
            </w:tcBorders>
          </w:tcPr>
          <w:p>
            <w:pPr>
              <w:pStyle w:val="Normal"/>
              <w:bidi w:val="0"/>
              <w:rPr/>
            </w:pPr>
            <w:r>
              <w:rPr/>
              <w:t>-Secteur formel :1%</w:t>
            </w:r>
          </w:p>
          <w:p>
            <w:pPr>
              <w:pStyle w:val="Normal"/>
              <w:bidi w:val="0"/>
              <w:rPr/>
            </w:pPr>
            <w:r>
              <w:rPr/>
              <w:t>- Secteur informel :5%</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RIV</w:t>
            </w:r>
          </w:p>
        </w:tc>
        <w:tc>
          <w:tcPr>
            <w:tcW w:w="3335" w:type="dxa"/>
            <w:tcBorders>
              <w:left w:val="single" w:sz="4" w:space="0" w:color="000000"/>
              <w:bottom w:val="single" w:sz="4" w:space="0" w:color="000000"/>
            </w:tcBorders>
          </w:tcPr>
          <w:p>
            <w:pPr>
              <w:pStyle w:val="Normal"/>
              <w:bidi w:val="0"/>
              <w:rPr/>
            </w:pPr>
            <w:r>
              <w:rPr/>
              <w:t>Redevance pour l'inspection et la vérification des marchandises</w:t>
            </w:r>
          </w:p>
        </w:tc>
        <w:tc>
          <w:tcPr>
            <w:tcW w:w="2732" w:type="dxa"/>
            <w:tcBorders>
              <w:left w:val="single" w:sz="4" w:space="0" w:color="000000"/>
              <w:bottom w:val="single" w:sz="4" w:space="0" w:color="000000"/>
            </w:tcBorders>
          </w:tcPr>
          <w:p>
            <w:pPr>
              <w:pStyle w:val="Normal"/>
              <w:bidi w:val="0"/>
              <w:rPr/>
            </w:pPr>
            <w:r>
              <w:rPr/>
              <w:t>Les fondements de cette taxe reposent sur l'arrêté n°0283/MEF/DGD du 29/12/2000 instituant la taxe</w:t>
            </w:r>
          </w:p>
          <w:p>
            <w:pPr>
              <w:pStyle w:val="Normal"/>
              <w:bidi w:val="0"/>
              <w:rPr/>
            </w:pPr>
            <w:r>
              <w:rPr/>
              <w:tab/>
              <w:tab/>
              <w:tab/>
              <w:t>de redevance pourl'inspection et la vérification des marchandises importées. Saperception a</w:t>
            </w:r>
          </w:p>
          <w:p>
            <w:pPr>
              <w:pStyle w:val="Normal"/>
              <w:bidi w:val="0"/>
              <w:rPr/>
            </w:pPr>
            <w:r>
              <w:rPr/>
              <w:t>commencé le 1e janvier 2001. Elle est collectée pour le compte de la société COTECNA.</w:t>
            </w:r>
          </w:p>
        </w:tc>
        <w:tc>
          <w:tcPr>
            <w:tcW w:w="2541" w:type="dxa"/>
            <w:tcBorders>
              <w:left w:val="single" w:sz="4" w:space="0" w:color="000000"/>
              <w:bottom w:val="single" w:sz="4" w:space="0" w:color="000000"/>
            </w:tcBorders>
          </w:tcPr>
          <w:p>
            <w:pPr>
              <w:pStyle w:val="Normal"/>
              <w:bidi w:val="0"/>
              <w:rPr/>
            </w:pPr>
            <w:r>
              <w:rPr/>
              <w:t>La base d'imposition est la valeur en douane des marchandises importées pour la mise à la consommation au Togo.</w:t>
            </w:r>
          </w:p>
        </w:tc>
        <w:tc>
          <w:tcPr>
            <w:tcW w:w="3582" w:type="dxa"/>
            <w:tcBorders>
              <w:left w:val="single" w:sz="4" w:space="0" w:color="000000"/>
              <w:bottom w:val="single" w:sz="4" w:space="0" w:color="000000"/>
              <w:right w:val="single" w:sz="4" w:space="0" w:color="000000"/>
            </w:tcBorders>
          </w:tcPr>
          <w:p>
            <w:pPr>
              <w:pStyle w:val="Normal"/>
              <w:bidi w:val="0"/>
              <w:rPr/>
            </w:pPr>
            <w:r>
              <w:rPr/>
              <w:t>0.75%.</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RI</w:t>
            </w:r>
          </w:p>
        </w:tc>
        <w:tc>
          <w:tcPr>
            <w:tcW w:w="3335" w:type="dxa"/>
            <w:tcBorders>
              <w:left w:val="single" w:sz="4" w:space="0" w:color="000000"/>
              <w:bottom w:val="single" w:sz="4" w:space="0" w:color="000000"/>
            </w:tcBorders>
          </w:tcPr>
          <w:p>
            <w:pPr>
              <w:pStyle w:val="Normal"/>
              <w:bidi w:val="0"/>
              <w:rPr/>
            </w:pPr>
            <w:r>
              <w:rPr/>
              <w:t>Redevance informatique</w:t>
            </w:r>
          </w:p>
        </w:tc>
        <w:tc>
          <w:tcPr>
            <w:tcW w:w="2732" w:type="dxa"/>
            <w:tcBorders>
              <w:left w:val="single" w:sz="4" w:space="0" w:color="000000"/>
              <w:bottom w:val="single" w:sz="4" w:space="0" w:color="000000"/>
            </w:tcBorders>
          </w:tcPr>
          <w:p>
            <w:pPr>
              <w:pStyle w:val="Normal"/>
              <w:bidi w:val="0"/>
              <w:rPr/>
            </w:pPr>
            <w:r>
              <w:rPr/>
              <w:t>Elle tire ses fondements de la note de service n°02/AD/DG du 08/01/2004 et la note circulaire n°003 du 26/02/2008.</w:t>
            </w:r>
          </w:p>
        </w:tc>
        <w:tc>
          <w:tcPr>
            <w:tcW w:w="2541" w:type="dxa"/>
            <w:tcBorders>
              <w:left w:val="single" w:sz="4" w:space="0" w:color="000000"/>
              <w:bottom w:val="single" w:sz="4" w:space="0" w:color="000000"/>
            </w:tcBorders>
          </w:tcPr>
          <w:p>
            <w:pPr>
              <w:pStyle w:val="Normal"/>
              <w:bidi w:val="0"/>
              <w:rPr/>
            </w:pPr>
            <w:r>
              <w:rPr/>
              <w:t>Elle est due sur toute déclaration en détail</w:t>
            </w:r>
          </w:p>
        </w:tc>
        <w:tc>
          <w:tcPr>
            <w:tcW w:w="3582" w:type="dxa"/>
            <w:tcBorders>
              <w:left w:val="single" w:sz="4" w:space="0" w:color="000000"/>
              <w:bottom w:val="single" w:sz="4" w:space="0" w:color="000000"/>
              <w:right w:val="single" w:sz="4" w:space="0" w:color="000000"/>
            </w:tcBorders>
          </w:tcPr>
          <w:p>
            <w:pPr>
              <w:pStyle w:val="Normal"/>
              <w:bidi w:val="0"/>
              <w:rPr/>
            </w:pPr>
            <w:r>
              <w:rPr/>
              <w:t>5000F par déclaration en détail.</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DPS</w:t>
            </w:r>
          </w:p>
        </w:tc>
        <w:tc>
          <w:tcPr>
            <w:tcW w:w="3335" w:type="dxa"/>
            <w:tcBorders>
              <w:left w:val="single" w:sz="4" w:space="0" w:color="000000"/>
              <w:bottom w:val="single" w:sz="4" w:space="0" w:color="000000"/>
            </w:tcBorders>
          </w:tcPr>
          <w:p>
            <w:pPr>
              <w:pStyle w:val="Normal"/>
              <w:bidi w:val="0"/>
              <w:rPr/>
            </w:pPr>
            <w:r>
              <w:rPr/>
              <w:t xml:space="preserve">Droit de passage au scanner </w:t>
            </w:r>
          </w:p>
        </w:tc>
        <w:tc>
          <w:tcPr>
            <w:tcW w:w="2732" w:type="dxa"/>
            <w:tcBorders>
              <w:left w:val="single" w:sz="4" w:space="0" w:color="000000"/>
              <w:bottom w:val="single" w:sz="4" w:space="0" w:color="000000"/>
            </w:tcBorders>
          </w:tcPr>
          <w:p>
            <w:pPr>
              <w:pStyle w:val="Normal"/>
              <w:bidi w:val="0"/>
              <w:rPr/>
            </w:pPr>
            <w:r>
              <w:rPr/>
              <w:t>La redevance pour le passage au scanner est basé sur Parrêté n°068/MEF/AD/DG du 12 juin 2003 ainsi que la note de service n°018/AD/DG.</w:t>
            </w:r>
          </w:p>
        </w:tc>
        <w:tc>
          <w:tcPr>
            <w:tcW w:w="2541" w:type="dxa"/>
            <w:tcBorders>
              <w:left w:val="single" w:sz="4" w:space="0" w:color="000000"/>
              <w:bottom w:val="single" w:sz="4" w:space="0" w:color="000000"/>
            </w:tcBorders>
          </w:tcPr>
          <w:p>
            <w:pPr>
              <w:pStyle w:val="Normal"/>
              <w:bidi w:val="0"/>
              <w:rPr/>
            </w:pPr>
            <w:r>
              <w:rPr/>
              <w:t>La taxation est faite sur la base de la taille du conteneur ou du moyen de transport utilisé.</w:t>
            </w:r>
          </w:p>
        </w:tc>
        <w:tc>
          <w:tcPr>
            <w:tcW w:w="3582" w:type="dxa"/>
            <w:tcBorders>
              <w:left w:val="single" w:sz="4" w:space="0" w:color="000000"/>
              <w:bottom w:val="single" w:sz="4" w:space="0" w:color="000000"/>
              <w:right w:val="single" w:sz="4" w:space="0" w:color="000000"/>
            </w:tcBorders>
          </w:tcPr>
          <w:p>
            <w:pPr>
              <w:pStyle w:val="Normal"/>
              <w:bidi w:val="0"/>
              <w:rPr/>
            </w:pPr>
            <w:r>
              <w:rPr/>
              <w:t>- Un(01) conteneur de 40 pieds(1TC*20')...70000f</w:t>
            </w:r>
          </w:p>
          <w:p>
            <w:pPr>
              <w:pStyle w:val="Normal"/>
              <w:bidi w:val="0"/>
              <w:rPr/>
            </w:pPr>
            <w:r>
              <w:rPr/>
              <w:t>-  1TC*20' ...50 000f</w:t>
            </w:r>
          </w:p>
          <w:p>
            <w:pPr>
              <w:pStyle w:val="Normal"/>
              <w:bidi w:val="0"/>
              <w:rPr/>
            </w:pPr>
            <w:r>
              <w:rPr/>
              <w:t>- Un(01)camion.....</w:t>
              <w:tab/>
              <w:t>20 000f</w:t>
            </w:r>
          </w:p>
          <w:p>
            <w:pPr>
              <w:pStyle w:val="Normal"/>
              <w:bidi w:val="0"/>
              <w:rPr/>
            </w:pPr>
            <w:r>
              <w:rPr/>
              <w:t>- Une (01) voiture de tourisme …10000f</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FDG</w:t>
            </w:r>
          </w:p>
        </w:tc>
        <w:tc>
          <w:tcPr>
            <w:tcW w:w="3335" w:type="dxa"/>
            <w:tcBorders>
              <w:left w:val="single" w:sz="4" w:space="0" w:color="000000"/>
              <w:bottom w:val="single" w:sz="4" w:space="0" w:color="000000"/>
            </w:tcBorders>
          </w:tcPr>
          <w:p>
            <w:pPr>
              <w:pStyle w:val="Normal"/>
              <w:bidi w:val="0"/>
              <w:rPr/>
            </w:pPr>
            <w:r>
              <w:rPr/>
              <w:t>Fonds de garantie</w:t>
            </w:r>
          </w:p>
        </w:tc>
        <w:tc>
          <w:tcPr>
            <w:tcW w:w="2732" w:type="dxa"/>
            <w:tcBorders>
              <w:left w:val="single" w:sz="4" w:space="0" w:color="000000"/>
              <w:bottom w:val="single" w:sz="4" w:space="0" w:color="000000"/>
            </w:tcBorders>
          </w:tcPr>
          <w:p>
            <w:pPr>
              <w:pStyle w:val="Normal"/>
              <w:bidi w:val="0"/>
              <w:rPr/>
            </w:pPr>
            <w:r>
              <w:rPr/>
              <w:t>C'est un prélèvement perçu pour le compte de la chambre de commerce et d'industrie du Togo. Elle s'applique aux marchandises en transit à destination d'un pays tiers à l'exclusion des véhicules automobiles.</w:t>
            </w:r>
          </w:p>
        </w:tc>
        <w:tc>
          <w:tcPr>
            <w:tcW w:w="2541" w:type="dxa"/>
            <w:tcBorders>
              <w:left w:val="single" w:sz="4" w:space="0" w:color="000000"/>
              <w:bottom w:val="single" w:sz="4" w:space="0" w:color="000000"/>
            </w:tcBorders>
          </w:tcPr>
          <w:p>
            <w:pPr>
              <w:pStyle w:val="Normal"/>
              <w:bidi w:val="0"/>
              <w:rPr/>
            </w:pPr>
            <w:r>
              <w:rPr/>
              <w:t>valeur en douane des marchandises importées en transit au Togo à destination d'un pays tiers.</w:t>
            </w:r>
          </w:p>
        </w:tc>
        <w:tc>
          <w:tcPr>
            <w:tcW w:w="3582" w:type="dxa"/>
            <w:tcBorders>
              <w:left w:val="single" w:sz="4" w:space="0" w:color="000000"/>
              <w:bottom w:val="single" w:sz="4" w:space="0" w:color="000000"/>
              <w:right w:val="single" w:sz="4" w:space="0" w:color="000000"/>
            </w:tcBorders>
          </w:tcPr>
          <w:p>
            <w:pPr>
              <w:pStyle w:val="Normal"/>
              <w:bidi w:val="0"/>
              <w:rPr/>
            </w:pPr>
            <w:r>
              <w:rPr/>
              <w:t>0.25%</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THT</w:t>
            </w:r>
          </w:p>
        </w:tc>
        <w:tc>
          <w:tcPr>
            <w:tcW w:w="3335" w:type="dxa"/>
            <w:tcBorders>
              <w:left w:val="single" w:sz="4" w:space="0" w:color="000000"/>
              <w:bottom w:val="single" w:sz="4" w:space="0" w:color="000000"/>
            </w:tcBorders>
          </w:tcPr>
          <w:p>
            <w:pPr>
              <w:pStyle w:val="Normal"/>
              <w:bidi w:val="0"/>
              <w:rPr/>
            </w:pPr>
            <w:r>
              <w:rPr/>
              <w:t>Taxe d'Entrée en Boutique Hors Taxe</w:t>
            </w:r>
          </w:p>
        </w:tc>
        <w:tc>
          <w:tcPr>
            <w:tcW w:w="2732" w:type="dxa"/>
            <w:tcBorders>
              <w:left w:val="single" w:sz="4" w:space="0" w:color="000000"/>
              <w:bottom w:val="single" w:sz="4" w:space="0" w:color="000000"/>
            </w:tcBorders>
          </w:tcPr>
          <w:p>
            <w:pPr>
              <w:pStyle w:val="Normal"/>
              <w:bidi w:val="0"/>
              <w:rPr/>
            </w:pPr>
            <w:r>
              <w:rPr/>
              <w:t>C'est une taxe percue sur toute des importations de marchandises en destination de boutiques hors taxes</w:t>
            </w:r>
          </w:p>
        </w:tc>
        <w:tc>
          <w:tcPr>
            <w:tcW w:w="2541" w:type="dxa"/>
            <w:tcBorders>
              <w:left w:val="single" w:sz="4" w:space="0" w:color="000000"/>
              <w:bottom w:val="single" w:sz="4" w:space="0" w:color="000000"/>
            </w:tcBorders>
          </w:tcPr>
          <w:p>
            <w:pPr>
              <w:pStyle w:val="TableContents"/>
              <w:bidi w:val="0"/>
              <w:jc w:val="left"/>
              <w:rPr>
                <w:lang w:val="fr-FR"/>
              </w:rPr>
            </w:pPr>
            <w:r>
              <w:rPr>
                <w:lang w:val="fr-FR"/>
              </w:rPr>
              <w:t>Valeur en douanes</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2 %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TSR</w:t>
            </w:r>
          </w:p>
        </w:tc>
        <w:tc>
          <w:tcPr>
            <w:tcW w:w="3335" w:type="dxa"/>
            <w:tcBorders>
              <w:left w:val="single" w:sz="4" w:space="0" w:color="000000"/>
              <w:bottom w:val="single" w:sz="4" w:space="0" w:color="000000"/>
            </w:tcBorders>
          </w:tcPr>
          <w:p>
            <w:pPr>
              <w:pStyle w:val="Normal"/>
              <w:bidi w:val="0"/>
              <w:rPr/>
            </w:pPr>
            <w:r>
              <w:rPr/>
              <w:t>Taxe spéciale de réexportation</w:t>
            </w:r>
          </w:p>
        </w:tc>
        <w:tc>
          <w:tcPr>
            <w:tcW w:w="2732" w:type="dxa"/>
            <w:tcBorders>
              <w:left w:val="single" w:sz="4" w:space="0" w:color="000000"/>
              <w:bottom w:val="single" w:sz="4" w:space="0" w:color="000000"/>
            </w:tcBorders>
          </w:tcPr>
          <w:p>
            <w:pPr>
              <w:pStyle w:val="Normal"/>
              <w:bidi w:val="0"/>
              <w:rPr/>
            </w:pPr>
            <w:r>
              <w:rPr/>
              <w:t>C'est une taxe perçue lors de la réexportation en l'état de marchandises préalablement importées puis stockées dans les magasins et aires de dédouanement ou dans les entrepôts de stockage.</w:t>
            </w:r>
          </w:p>
          <w:p>
            <w:pPr>
              <w:pStyle w:val="Normal"/>
              <w:bidi w:val="0"/>
              <w:rPr/>
            </w:pPr>
            <w:r>
              <w:rPr/>
              <w:t>Elle est régie par la note circulaire n°031/MEF/AD/DG du 28/04/1992 portant modification et extension de la taxe de réexportation et la décision n°0072/MEF/AD/DG du 19/01/1996.</w:t>
            </w:r>
          </w:p>
        </w:tc>
        <w:tc>
          <w:tcPr>
            <w:tcW w:w="2541" w:type="dxa"/>
            <w:tcBorders>
              <w:left w:val="single" w:sz="4" w:space="0" w:color="000000"/>
              <w:bottom w:val="single" w:sz="4" w:space="0" w:color="000000"/>
            </w:tcBorders>
          </w:tcPr>
          <w:p>
            <w:pPr>
              <w:pStyle w:val="Normal"/>
              <w:bidi w:val="0"/>
              <w:rPr/>
            </w:pPr>
            <w:r>
              <w:rPr/>
              <w:t>La T.S.R. est assise sur la valeur en douane admise lors de l'entrée de la marchandise concernée. Lorsqu'il s'agit d'une réexportation partielle, la valeur à prendre en compte doit être proportionnelle à la valeur admise au moment de l'entrée.</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4 %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BA</w:t>
            </w:r>
          </w:p>
        </w:tc>
        <w:tc>
          <w:tcPr>
            <w:tcW w:w="3335" w:type="dxa"/>
            <w:tcBorders>
              <w:left w:val="single" w:sz="4" w:space="0" w:color="000000"/>
              <w:bottom w:val="single" w:sz="4" w:space="0" w:color="000000"/>
            </w:tcBorders>
          </w:tcPr>
          <w:p>
            <w:pPr>
              <w:pStyle w:val="Normal"/>
              <w:bidi w:val="0"/>
              <w:rPr/>
            </w:pPr>
            <w:r>
              <w:rPr/>
              <w:t>Bénéfice agricole</w:t>
            </w:r>
          </w:p>
        </w:tc>
        <w:tc>
          <w:tcPr>
            <w:tcW w:w="2732" w:type="dxa"/>
            <w:tcBorders>
              <w:left w:val="single" w:sz="4" w:space="0" w:color="000000"/>
              <w:bottom w:val="single" w:sz="4" w:space="0" w:color="000000"/>
            </w:tcBorders>
          </w:tcPr>
          <w:p>
            <w:pPr>
              <w:pStyle w:val="Normal"/>
              <w:bidi w:val="0"/>
              <w:rPr/>
            </w:pPr>
            <w:r>
              <w:rPr/>
              <w:t>C'est un impôt percu au cordon douanier sur I'exportation des produits agricoles d'origine togolaise.</w:t>
            </w:r>
          </w:p>
          <w:p>
            <w:pPr>
              <w:pStyle w:val="Normal"/>
              <w:bidi w:val="0"/>
              <w:rPr/>
            </w:pPr>
            <w:r>
              <w:rPr/>
              <w:t>II constitue un acompte de cet impôt dont la régularisation devra être faite par le commissariat des impôts</w:t>
            </w:r>
          </w:p>
        </w:tc>
        <w:tc>
          <w:tcPr>
            <w:tcW w:w="2541" w:type="dxa"/>
            <w:tcBorders>
              <w:left w:val="single" w:sz="4" w:space="0" w:color="000000"/>
              <w:bottom w:val="single" w:sz="4" w:space="0" w:color="000000"/>
            </w:tcBorders>
          </w:tcPr>
          <w:p>
            <w:pPr>
              <w:pStyle w:val="Normal"/>
              <w:bidi w:val="0"/>
              <w:rPr/>
            </w:pPr>
            <w:r>
              <w:rPr/>
              <w:t>valeur FOB de la machandise à exporter</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1 %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TSR-MP</w:t>
            </w:r>
          </w:p>
        </w:tc>
        <w:tc>
          <w:tcPr>
            <w:tcW w:w="3335" w:type="dxa"/>
            <w:tcBorders>
              <w:left w:val="single" w:sz="4" w:space="0" w:color="000000"/>
              <w:bottom w:val="single" w:sz="4" w:space="0" w:color="000000"/>
            </w:tcBorders>
          </w:tcPr>
          <w:p>
            <w:pPr>
              <w:pStyle w:val="Normal"/>
              <w:bidi w:val="0"/>
              <w:rPr/>
            </w:pPr>
            <w:r>
              <w:rPr/>
              <w:tab/>
              <w:t xml:space="preserve">La Taxe Spéciale de Réexportation sur les Métaux Précieux </w:t>
            </w:r>
          </w:p>
        </w:tc>
        <w:tc>
          <w:tcPr>
            <w:tcW w:w="2732" w:type="dxa"/>
            <w:tcBorders>
              <w:left w:val="single" w:sz="4" w:space="0" w:color="000000"/>
              <w:bottom w:val="single" w:sz="4" w:space="0" w:color="000000"/>
            </w:tcBorders>
          </w:tcPr>
          <w:p>
            <w:pPr>
              <w:pStyle w:val="Normal"/>
              <w:bidi w:val="0"/>
              <w:rPr/>
            </w:pPr>
            <w:r>
              <w:rPr/>
              <w:t xml:space="preserve">Elle est applicable sur toute réexportation des Métaux précieux amis en M..D et entrepôts. </w:t>
            </w:r>
          </w:p>
        </w:tc>
        <w:tc>
          <w:tcPr>
            <w:tcW w:w="2541" w:type="dxa"/>
            <w:tcBorders>
              <w:left w:val="single" w:sz="4" w:space="0" w:color="000000"/>
              <w:bottom w:val="single" w:sz="4" w:space="0" w:color="000000"/>
            </w:tcBorders>
          </w:tcPr>
          <w:p>
            <w:pPr>
              <w:pStyle w:val="TableContents"/>
              <w:bidi w:val="0"/>
              <w:jc w:val="left"/>
              <w:rPr>
                <w:lang w:val="fr-FR"/>
              </w:rPr>
            </w:pPr>
            <w:r>
              <w:rPr>
                <w:lang w:val="fr-FR"/>
              </w:rPr>
              <w:t>Valeur en douane</w:t>
            </w:r>
          </w:p>
        </w:tc>
        <w:tc>
          <w:tcPr>
            <w:tcW w:w="3582" w:type="dxa"/>
            <w:tcBorders>
              <w:left w:val="single" w:sz="4" w:space="0" w:color="000000"/>
              <w:bottom w:val="single" w:sz="4" w:space="0" w:color="000000"/>
              <w:right w:val="single" w:sz="4" w:space="0" w:color="000000"/>
            </w:tcBorders>
          </w:tcPr>
          <w:p>
            <w:pPr>
              <w:pStyle w:val="TableContents"/>
              <w:bidi w:val="0"/>
              <w:jc w:val="left"/>
              <w:rPr>
                <w:lang w:val="fr-FR"/>
              </w:rPr>
            </w:pPr>
            <w:r>
              <w:rPr>
                <w:lang w:val="fr-FR"/>
              </w:rPr>
              <w:t>3.34 %</w:t>
            </w:r>
          </w:p>
        </w:tc>
      </w:tr>
      <w:tr>
        <w:trPr/>
        <w:tc>
          <w:tcPr>
            <w:tcW w:w="1534" w:type="dxa"/>
            <w:tcBorders>
              <w:left w:val="single" w:sz="4" w:space="0" w:color="000000"/>
              <w:bottom w:val="single" w:sz="4" w:space="0" w:color="000000"/>
            </w:tcBorders>
          </w:tcPr>
          <w:p>
            <w:pPr>
              <w:pStyle w:val="TableContents"/>
              <w:bidi w:val="0"/>
              <w:jc w:val="left"/>
              <w:rPr>
                <w:lang w:val="fr-FR"/>
              </w:rPr>
            </w:pPr>
            <w:r>
              <w:rPr>
                <w:lang w:val="fr-FR"/>
              </w:rPr>
              <w:t>DMP</w:t>
            </w:r>
          </w:p>
        </w:tc>
        <w:tc>
          <w:tcPr>
            <w:tcW w:w="3335" w:type="dxa"/>
            <w:tcBorders>
              <w:left w:val="single" w:sz="4" w:space="0" w:color="000000"/>
              <w:bottom w:val="single" w:sz="4" w:space="0" w:color="000000"/>
            </w:tcBorders>
          </w:tcPr>
          <w:p>
            <w:pPr>
              <w:pStyle w:val="Normal"/>
              <w:bidi w:val="0"/>
              <w:rPr/>
            </w:pPr>
            <w:r>
              <w:rPr/>
              <w:t xml:space="preserve">Droits sur Métaux Précieux </w:t>
            </w:r>
          </w:p>
        </w:tc>
        <w:tc>
          <w:tcPr>
            <w:tcW w:w="2732" w:type="dxa"/>
            <w:tcBorders>
              <w:left w:val="single" w:sz="4" w:space="0" w:color="000000"/>
              <w:bottom w:val="single" w:sz="4" w:space="0" w:color="000000"/>
            </w:tcBorders>
          </w:tcPr>
          <w:p>
            <w:pPr>
              <w:pStyle w:val="Normal"/>
              <w:bidi w:val="0"/>
              <w:rPr/>
            </w:pPr>
            <w:r>
              <w:rPr/>
              <w:t>arrêté interministériel n°020/MME/MEF/MCPSP/2010 du 24 novembre 2010 en ses articles 1 et 2, et la note de service n°149/AD/DG du 31/12/2010.</w:t>
            </w:r>
          </w:p>
          <w:p>
            <w:pPr>
              <w:pStyle w:val="Normal"/>
              <w:bidi w:val="0"/>
              <w:rPr/>
            </w:pPr>
            <w:r>
              <w:rPr/>
              <w:t>Il est perçu lors de l'exportation des matières précieuses et semi-précieuses</w:t>
            </w:r>
          </w:p>
        </w:tc>
        <w:tc>
          <w:tcPr>
            <w:tcW w:w="2541" w:type="dxa"/>
            <w:tcBorders>
              <w:left w:val="single" w:sz="4" w:space="0" w:color="000000"/>
              <w:bottom w:val="single" w:sz="4" w:space="0" w:color="000000"/>
            </w:tcBorders>
          </w:tcPr>
          <w:p>
            <w:pPr>
              <w:pStyle w:val="Normal"/>
              <w:bidi w:val="0"/>
              <w:rPr/>
            </w:pPr>
            <w:r>
              <w:rPr/>
              <w:t>- Diamant..............5000F/g</w:t>
            </w:r>
          </w:p>
          <w:p>
            <w:pPr>
              <w:pStyle w:val="Normal"/>
              <w:bidi w:val="0"/>
              <w:rPr/>
            </w:pPr>
            <w:r>
              <w:rPr/>
              <w:t>- Or.........1000F/g</w:t>
            </w:r>
          </w:p>
          <w:p>
            <w:pPr>
              <w:pStyle w:val="Normal"/>
              <w:bidi w:val="0"/>
              <w:rPr/>
            </w:pPr>
            <w:r>
              <w:rPr/>
              <w:t xml:space="preserve"> </w:t>
            </w:r>
            <w:r>
              <w:rPr/>
              <w:t>- Autres substances minérales...........100fF/g</w:t>
            </w:r>
          </w:p>
        </w:tc>
        <w:tc>
          <w:tcPr>
            <w:tcW w:w="3582" w:type="dxa"/>
            <w:tcBorders>
              <w:left w:val="single" w:sz="4" w:space="0" w:color="000000"/>
              <w:bottom w:val="single" w:sz="4" w:space="0" w:color="000000"/>
              <w:right w:val="single" w:sz="4" w:space="0" w:color="000000"/>
            </w:tcBorders>
          </w:tcPr>
          <w:p>
            <w:pPr>
              <w:pStyle w:val="Normal"/>
              <w:bidi w:val="0"/>
              <w:rPr/>
            </w:pPr>
            <w:r>
              <w:rPr/>
              <w:t>Son taux est fixé par l'article 4 du décret n°2009-299/PR à 4.5% de la valeur mercuriale.</w:t>
            </w:r>
          </w:p>
        </w:tc>
      </w:tr>
      <w:tr>
        <w:trPr>
          <w:trHeight w:val="2086" w:hRule="atLeast"/>
        </w:trPr>
        <w:tc>
          <w:tcPr>
            <w:tcW w:w="1534" w:type="dxa"/>
            <w:tcBorders>
              <w:left w:val="single" w:sz="4" w:space="0" w:color="000000"/>
              <w:bottom w:val="single" w:sz="4" w:space="0" w:color="000000"/>
            </w:tcBorders>
          </w:tcPr>
          <w:p>
            <w:pPr>
              <w:pStyle w:val="TableContents"/>
              <w:bidi w:val="0"/>
              <w:jc w:val="left"/>
              <w:rPr>
                <w:lang w:val="fr-FR"/>
              </w:rPr>
            </w:pPr>
            <w:r>
              <w:rPr>
                <w:lang w:val="fr-FR"/>
              </w:rPr>
              <w:t>PNC</w:t>
            </w:r>
          </w:p>
        </w:tc>
        <w:tc>
          <w:tcPr>
            <w:tcW w:w="3335" w:type="dxa"/>
            <w:tcBorders>
              <w:left w:val="single" w:sz="4" w:space="0" w:color="000000"/>
              <w:bottom w:val="single" w:sz="4" w:space="0" w:color="000000"/>
            </w:tcBorders>
          </w:tcPr>
          <w:p>
            <w:pPr>
              <w:pStyle w:val="Normal"/>
              <w:bidi w:val="0"/>
              <w:rPr/>
            </w:pPr>
            <w:r>
              <w:rPr/>
              <w:t>Prélèvement sur les noix de cajou</w:t>
            </w:r>
          </w:p>
        </w:tc>
        <w:tc>
          <w:tcPr>
            <w:tcW w:w="2732" w:type="dxa"/>
            <w:tcBorders>
              <w:left w:val="single" w:sz="4" w:space="0" w:color="000000"/>
              <w:bottom w:val="single" w:sz="4" w:space="0" w:color="000000"/>
            </w:tcBorders>
          </w:tcPr>
          <w:p>
            <w:pPr>
              <w:pStyle w:val="Normal"/>
              <w:bidi w:val="0"/>
              <w:rPr/>
            </w:pPr>
            <w:r>
              <w:rPr/>
              <w:t>Il est institué par le Décret n° 2018-146/PR du 03/01/2018 et rendu applicable par note de service n° 004/2019/OTR/CG du 08/01/2019.</w:t>
            </w:r>
          </w:p>
        </w:tc>
        <w:tc>
          <w:tcPr>
            <w:tcW w:w="2541" w:type="dxa"/>
            <w:tcBorders>
              <w:left w:val="single" w:sz="4" w:space="0" w:color="000000"/>
              <w:bottom w:val="single" w:sz="4" w:space="0" w:color="000000"/>
            </w:tcBorders>
          </w:tcPr>
          <w:p>
            <w:pPr>
              <w:pStyle w:val="Normal"/>
              <w:bidi w:val="0"/>
              <w:rPr/>
            </w:pPr>
            <w:r>
              <w:rPr/>
              <w:t>nombre de kg exporté ou transformé</w:t>
            </w:r>
          </w:p>
        </w:tc>
        <w:tc>
          <w:tcPr>
            <w:tcW w:w="3582" w:type="dxa"/>
            <w:tcBorders>
              <w:left w:val="single" w:sz="4" w:space="0" w:color="000000"/>
              <w:bottom w:val="single" w:sz="4" w:space="0" w:color="000000"/>
              <w:right w:val="single" w:sz="4" w:space="0" w:color="000000"/>
            </w:tcBorders>
          </w:tcPr>
          <w:p>
            <w:pPr>
              <w:pStyle w:val="Normal"/>
              <w:bidi w:val="0"/>
              <w:rPr/>
            </w:pPr>
            <w:r>
              <w:rPr/>
              <w:t>- A l'export:PNC=40F/KG</w:t>
            </w:r>
          </w:p>
          <w:p>
            <w:pPr>
              <w:pStyle w:val="Normal"/>
              <w:bidi w:val="0"/>
              <w:rPr/>
            </w:pPr>
            <w:r>
              <w:rPr/>
              <w:t>- A la transformation:PNC=5F/kg</w:t>
            </w:r>
          </w:p>
        </w:tc>
      </w:tr>
    </w:tbl>
    <w:p>
      <w:pPr>
        <w:pStyle w:val="Normal"/>
        <w:bidi w:val="0"/>
        <w:jc w:val="left"/>
        <w:rPr>
          <w:lang w:val="fr-FR"/>
        </w:rPr>
      </w:pPr>
      <w:r>
        <w:rPr>
          <w:lang w:val="fr-FR"/>
        </w:rPr>
      </w:r>
    </w:p>
    <w:p>
      <w:pPr>
        <w:pStyle w:val="Normal"/>
        <w:bidi w:val="0"/>
        <w:jc w:val="left"/>
        <w:rPr>
          <w:lang w:val="fr-FR"/>
        </w:rPr>
      </w:pPr>
      <w:r>
        <w:rPr>
          <w:lang w:val="fr-FR"/>
        </w:rPr>
      </w:r>
    </w:p>
    <w:tbl>
      <w:tblPr>
        <w:tblW w:w="5000" w:type="pct"/>
        <w:jc w:val="left"/>
        <w:tblInd w:w="0" w:type="dxa"/>
        <w:tblLayout w:type="fixed"/>
        <w:tblCellMar>
          <w:top w:w="0" w:type="dxa"/>
          <w:left w:w="0" w:type="dxa"/>
          <w:bottom w:w="0" w:type="dxa"/>
          <w:right w:w="0" w:type="dxa"/>
        </w:tblCellMar>
      </w:tblPr>
      <w:tblGrid>
        <w:gridCol w:w="4422"/>
        <w:gridCol w:w="10148"/>
      </w:tblGrid>
      <w:tr>
        <w:trPr/>
        <w:tc>
          <w:tcPr>
            <w:tcW w:w="4422" w:type="dxa"/>
            <w:tcBorders/>
          </w:tcPr>
          <w:p>
            <w:pPr>
              <w:pStyle w:val="TableContents"/>
              <w:widowControl w:val="false"/>
              <w:suppressLineNumbers/>
              <w:bidi w:val="0"/>
              <w:jc w:val="left"/>
              <w:rPr/>
            </w:pPr>
            <w:r>
              <w:rPr/>
              <w:t>mise à la consommation</w:t>
            </w:r>
          </w:p>
        </w:tc>
        <w:tc>
          <w:tcPr>
            <w:tcW w:w="10148" w:type="dxa"/>
            <w:tcBorders/>
          </w:tcPr>
          <w:p>
            <w:pPr>
              <w:pStyle w:val="Normal"/>
              <w:bidi w:val="0"/>
              <w:rPr/>
            </w:pPr>
            <w:r>
              <w:rPr/>
              <w:t>- Droit de douane (DD) ou timbre douanier(TD)</w:t>
            </w:r>
          </w:p>
          <w:p>
            <w:pPr>
              <w:pStyle w:val="Normal"/>
              <w:bidi w:val="0"/>
              <w:rPr/>
            </w:pPr>
            <w:r>
              <w:rPr/>
              <w:t>- Redevance statistique (RS)</w:t>
            </w:r>
          </w:p>
          <w:p>
            <w:pPr>
              <w:pStyle w:val="Normal"/>
              <w:bidi w:val="0"/>
              <w:rPr/>
            </w:pPr>
            <w:r>
              <w:rPr/>
              <w:t>- Taxe de protection des infrastructures (TPI) ou Taxe de péage (TP)</w:t>
            </w:r>
          </w:p>
          <w:p>
            <w:pPr>
              <w:pStyle w:val="Normal"/>
              <w:bidi w:val="0"/>
              <w:rPr/>
            </w:pPr>
            <w:r>
              <w:rPr/>
              <w:t>- Prélèvement communautaire de solidarité (PCS)</w:t>
            </w:r>
          </w:p>
          <w:p>
            <w:pPr>
              <w:pStyle w:val="Normal"/>
              <w:bidi w:val="0"/>
              <w:rPr/>
            </w:pPr>
            <w:r>
              <w:rPr/>
              <w:t>- Prélèvement national de solidarité (PNS)</w:t>
            </w:r>
          </w:p>
          <w:p>
            <w:pPr>
              <w:pStyle w:val="Normal"/>
              <w:bidi w:val="0"/>
              <w:rPr/>
            </w:pPr>
            <w:r>
              <w:rPr/>
              <w:t>- Prélèvement communautaire (PC)</w:t>
            </w:r>
          </w:p>
          <w:p>
            <w:pPr>
              <w:pStyle w:val="Normal"/>
              <w:bidi w:val="0"/>
              <w:rPr/>
            </w:pPr>
            <w:r>
              <w:rPr/>
              <w:t>- Prélèvement de I'Union Africaine (PUA)</w:t>
            </w:r>
          </w:p>
          <w:p>
            <w:pPr>
              <w:pStyle w:val="Normal"/>
              <w:bidi w:val="0"/>
              <w:rPr/>
            </w:pPr>
            <w:r>
              <w:rPr/>
              <w:t>- Bénéfice industriel et commercial (BIC)</w:t>
            </w:r>
          </w:p>
          <w:p>
            <w:pPr>
              <w:pStyle w:val="Normal"/>
              <w:bidi w:val="0"/>
              <w:rPr/>
            </w:pPr>
            <w:r>
              <w:rPr/>
              <w:t>- Taxe sur la valeur ajoutée (TVA)</w:t>
            </w:r>
          </w:p>
          <w:p>
            <w:pPr>
              <w:pStyle w:val="Normal"/>
              <w:bidi w:val="0"/>
              <w:rPr/>
            </w:pPr>
            <w:r>
              <w:rPr/>
              <w:t>- Redevance pour l'inspection et la vérification des marchandises (RIV)</w:t>
            </w:r>
          </w:p>
          <w:p>
            <w:pPr>
              <w:pStyle w:val="Normal"/>
              <w:bidi w:val="0"/>
              <w:rPr/>
            </w:pPr>
            <w:r>
              <w:rPr/>
              <w:t>- Redevance informatique (RI)</w:t>
            </w:r>
          </w:p>
          <w:p>
            <w:pPr>
              <w:pStyle w:val="Normal"/>
              <w:bidi w:val="0"/>
              <w:rPr/>
            </w:pPr>
            <w:r>
              <w:rPr/>
              <w:t>- Droit de passage au scanner (DPS); et d'autres taxes sur certains produits spécifiques tels que:</w:t>
            </w:r>
          </w:p>
          <w:p>
            <w:pPr>
              <w:pStyle w:val="Normal"/>
              <w:bidi w:val="0"/>
              <w:rPr/>
            </w:pPr>
            <w:r>
              <w:rPr/>
              <w:t>- Droit d'accises sur les produits pétroliers (DAPP)</w:t>
            </w:r>
          </w:p>
          <w:p>
            <w:pPr>
              <w:pStyle w:val="Normal"/>
              <w:bidi w:val="0"/>
              <w:rPr/>
            </w:pPr>
            <w:r>
              <w:rPr/>
              <w:t>- Droit de consommation ou autres droits d'accises(ADA)</w:t>
            </w:r>
          </w:p>
          <w:p>
            <w:pPr>
              <w:pStyle w:val="Normal"/>
              <w:bidi w:val="0"/>
              <w:rPr/>
            </w:pPr>
            <w:r>
              <w:rPr/>
            </w:r>
          </w:p>
          <w:p>
            <w:pPr>
              <w:pStyle w:val="Normal"/>
              <w:bidi w:val="0"/>
              <w:rPr/>
            </w:pPr>
            <w:r>
              <w:rPr/>
            </w:r>
          </w:p>
        </w:tc>
      </w:tr>
      <w:tr>
        <w:trPr/>
        <w:tc>
          <w:tcPr>
            <w:tcW w:w="4422" w:type="dxa"/>
            <w:tcBorders/>
          </w:tcPr>
          <w:p>
            <w:pPr>
              <w:pStyle w:val="TableContents"/>
              <w:widowControl w:val="false"/>
              <w:suppressLineNumbers/>
              <w:bidi w:val="0"/>
              <w:jc w:val="left"/>
              <w:rPr/>
            </w:pPr>
            <w:r>
              <w:rPr/>
              <w:t xml:space="preserve"> </w:t>
            </w:r>
            <w:r>
              <w:rPr/>
              <w:t>En transit national</w:t>
            </w:r>
          </w:p>
        </w:tc>
        <w:tc>
          <w:tcPr>
            <w:tcW w:w="10148" w:type="dxa"/>
            <w:tcBorders/>
          </w:tcPr>
          <w:p>
            <w:pPr>
              <w:pStyle w:val="Normal"/>
              <w:bidi w:val="0"/>
              <w:rPr/>
            </w:pPr>
            <w:r>
              <w:rPr/>
              <w:t>- Redevance-statistique-(RS)</w:t>
            </w:r>
          </w:p>
          <w:p>
            <w:pPr>
              <w:pStyle w:val="Normal"/>
              <w:bidi w:val="0"/>
              <w:rPr/>
            </w:pPr>
            <w:r>
              <w:rPr/>
              <w:t>- Taxe de protection des infrastructures (TPI) ou Taxe de péage (TP)</w:t>
            </w:r>
          </w:p>
          <w:p>
            <w:pPr>
              <w:pStyle w:val="Normal"/>
              <w:bidi w:val="0"/>
              <w:rPr/>
            </w:pPr>
            <w:r>
              <w:rPr/>
              <w:t>- Redevance informatique (RI)</w:t>
            </w:r>
          </w:p>
          <w:p>
            <w:pPr>
              <w:pStyle w:val="Normal"/>
              <w:bidi w:val="0"/>
              <w:rPr/>
            </w:pPr>
            <w:r>
              <w:rPr/>
              <w:t>- Droit de passage au scanner (DPS)</w:t>
            </w:r>
          </w:p>
        </w:tc>
      </w:tr>
      <w:tr>
        <w:trPr/>
        <w:tc>
          <w:tcPr>
            <w:tcW w:w="4422" w:type="dxa"/>
            <w:tcBorders/>
          </w:tcPr>
          <w:p>
            <w:pPr>
              <w:pStyle w:val="TableContents"/>
              <w:widowControl w:val="false"/>
              <w:suppressLineNumbers/>
              <w:bidi w:val="0"/>
              <w:jc w:val="left"/>
              <w:rPr/>
            </w:pPr>
            <w:r>
              <w:rPr/>
              <w:t>En transit à destination du Mali, Niger et Burkina</w:t>
            </w:r>
          </w:p>
        </w:tc>
        <w:tc>
          <w:tcPr>
            <w:tcW w:w="10148" w:type="dxa"/>
            <w:tcBorders/>
          </w:tcPr>
          <w:p>
            <w:pPr>
              <w:pStyle w:val="Normal"/>
              <w:bidi w:val="0"/>
              <w:rPr/>
            </w:pPr>
            <w:r>
              <w:rPr/>
              <w:t>- Taxe de péage(TP)</w:t>
            </w:r>
          </w:p>
          <w:p>
            <w:pPr>
              <w:pStyle w:val="Normal"/>
              <w:bidi w:val="0"/>
              <w:rPr/>
            </w:pPr>
            <w:r>
              <w:rPr/>
              <w:t>- Fonds de garantie (FDG) institué par le décret n° 82-202 du 245 août 1982</w:t>
            </w:r>
          </w:p>
          <w:p>
            <w:pPr>
              <w:pStyle w:val="Normal"/>
              <w:bidi w:val="0"/>
              <w:rPr/>
            </w:pPr>
            <w:r>
              <w:rPr/>
              <w:t>- Redevance informatique (RI)</w:t>
            </w:r>
          </w:p>
          <w:p>
            <w:pPr>
              <w:pStyle w:val="TableContents"/>
              <w:widowControl w:val="false"/>
              <w:suppressLineNumbers/>
              <w:bidi w:val="0"/>
              <w:jc w:val="left"/>
              <w:rPr/>
            </w:pPr>
            <w:r>
              <w:rPr/>
              <w:t>- Taxe spéciale de réexportation (TSR) pour les marchandises en suite de MAD ou entrepôt de stockage</w:t>
            </w:r>
          </w:p>
        </w:tc>
      </w:tr>
      <w:tr>
        <w:trPr/>
        <w:tc>
          <w:tcPr>
            <w:tcW w:w="4422" w:type="dxa"/>
            <w:tcBorders/>
          </w:tcPr>
          <w:p>
            <w:pPr>
              <w:pStyle w:val="Normal"/>
              <w:bidi w:val="0"/>
              <w:rPr/>
            </w:pPr>
            <w:r>
              <w:rPr/>
              <w:t>En transit à destination d'un pays côtier de la CEDEAO</w:t>
            </w:r>
          </w:p>
        </w:tc>
        <w:tc>
          <w:tcPr>
            <w:tcW w:w="10148" w:type="dxa"/>
            <w:tcBorders/>
          </w:tcPr>
          <w:p>
            <w:pPr>
              <w:pStyle w:val="Normal"/>
              <w:bidi w:val="0"/>
              <w:rPr/>
            </w:pPr>
            <w:r>
              <w:rPr/>
              <w:t>- Redevance statistique (RS)</w:t>
            </w:r>
          </w:p>
          <w:p>
            <w:pPr>
              <w:pStyle w:val="Normal"/>
              <w:bidi w:val="0"/>
              <w:rPr/>
            </w:pPr>
            <w:r>
              <w:rPr/>
              <w:t>- Taxe de péage (TP)</w:t>
            </w:r>
          </w:p>
          <w:p>
            <w:pPr>
              <w:pStyle w:val="Normal"/>
              <w:bidi w:val="0"/>
              <w:rPr/>
            </w:pPr>
            <w:r>
              <w:rPr/>
              <w:t>- Fonds de garantie (FDG)</w:t>
            </w:r>
          </w:p>
          <w:p>
            <w:pPr>
              <w:pStyle w:val="Normal"/>
              <w:bidi w:val="0"/>
              <w:rPr/>
            </w:pPr>
            <w:r>
              <w:rPr/>
              <w:t>- Redevance informatique (RI)</w:t>
            </w:r>
          </w:p>
          <w:p>
            <w:pPr>
              <w:pStyle w:val="Normal"/>
              <w:bidi w:val="0"/>
              <w:rPr/>
            </w:pPr>
            <w:r>
              <w:rPr/>
              <w:t>-Taxe spéciale de réexportation (TSR) pour les marchandises en sute de MAD ou entrepôt de stockage</w:t>
            </w:r>
          </w:p>
        </w:tc>
      </w:tr>
      <w:tr>
        <w:trPr>
          <w:trHeight w:val="65" w:hRule="atLeast"/>
        </w:trPr>
        <w:tc>
          <w:tcPr>
            <w:tcW w:w="4422" w:type="dxa"/>
            <w:tcBorders/>
          </w:tcPr>
          <w:p>
            <w:pPr>
              <w:pStyle w:val="Normal"/>
              <w:bidi w:val="0"/>
              <w:rPr/>
            </w:pPr>
            <w:r>
              <w:rPr/>
              <w:t>En transit vers la zone franche</w:t>
            </w:r>
          </w:p>
        </w:tc>
        <w:tc>
          <w:tcPr>
            <w:tcW w:w="10148" w:type="dxa"/>
            <w:tcBorders/>
          </w:tcPr>
          <w:p>
            <w:pPr>
              <w:pStyle w:val="Normal"/>
              <w:bidi w:val="0"/>
              <w:rPr/>
            </w:pPr>
            <w:r>
              <w:rPr/>
              <w:t>- Redevance informatique (RI)</w:t>
            </w:r>
          </w:p>
          <w:p>
            <w:pPr>
              <w:pStyle w:val="Normal"/>
              <w:bidi w:val="0"/>
              <w:rPr/>
            </w:pPr>
            <w:r>
              <w:rPr/>
              <w:t>- Droit de passage au scanner (DPS)</w:t>
            </w:r>
          </w:p>
        </w:tc>
      </w:tr>
      <w:tr>
        <w:trPr/>
        <w:tc>
          <w:tcPr>
            <w:tcW w:w="4422" w:type="dxa"/>
            <w:tcBorders/>
          </w:tcPr>
          <w:p>
            <w:pPr>
              <w:pStyle w:val="Normal"/>
              <w:bidi w:val="0"/>
              <w:rPr/>
            </w:pPr>
            <w:r>
              <w:rPr/>
              <w:t>Entrée en entrepôt de stockage</w:t>
            </w:r>
          </w:p>
        </w:tc>
        <w:tc>
          <w:tcPr>
            <w:tcW w:w="10148" w:type="dxa"/>
            <w:tcBorders/>
          </w:tcPr>
          <w:p>
            <w:pPr>
              <w:pStyle w:val="Normal"/>
              <w:bidi w:val="0"/>
              <w:rPr/>
            </w:pPr>
            <w:r>
              <w:rPr/>
              <w:t>- Redevance statistique(RS)</w:t>
            </w:r>
          </w:p>
          <w:p>
            <w:pPr>
              <w:pStyle w:val="Normal"/>
              <w:bidi w:val="0"/>
              <w:rPr/>
            </w:pPr>
            <w:r>
              <w:rPr/>
              <w:t>- Redevance informatique(RI)</w:t>
            </w:r>
          </w:p>
          <w:p>
            <w:pPr>
              <w:pStyle w:val="Normal"/>
              <w:bidi w:val="0"/>
              <w:rPr/>
            </w:pPr>
            <w:r>
              <w:rPr/>
              <w:t>- Droit de passage au scanner (DPS)</w:t>
            </w:r>
          </w:p>
        </w:tc>
      </w:tr>
      <w:tr>
        <w:trPr/>
        <w:tc>
          <w:tcPr>
            <w:tcW w:w="4422" w:type="dxa"/>
            <w:tcBorders/>
          </w:tcPr>
          <w:p>
            <w:pPr>
              <w:pStyle w:val="Normal"/>
              <w:bidi w:val="0"/>
              <w:rPr/>
            </w:pPr>
            <w:r>
              <w:rPr/>
              <w:t>Entrée en entrepôt industriel</w:t>
            </w:r>
          </w:p>
        </w:tc>
        <w:tc>
          <w:tcPr>
            <w:tcW w:w="10148" w:type="dxa"/>
            <w:tcBorders/>
          </w:tcPr>
          <w:p>
            <w:pPr>
              <w:pStyle w:val="Normal"/>
              <w:bidi w:val="0"/>
              <w:rPr/>
            </w:pPr>
            <w:r>
              <w:rPr/>
              <w:t>- Redevance informatique (RI)</w:t>
            </w:r>
          </w:p>
          <w:p>
            <w:pPr>
              <w:pStyle w:val="Normal"/>
              <w:bidi w:val="0"/>
              <w:rPr/>
            </w:pPr>
            <w:r>
              <w:rPr/>
              <w:t>- Droit de passage au scanner (DPS)</w:t>
            </w:r>
          </w:p>
        </w:tc>
      </w:tr>
      <w:tr>
        <w:trPr/>
        <w:tc>
          <w:tcPr>
            <w:tcW w:w="4422" w:type="dxa"/>
            <w:tcBorders/>
          </w:tcPr>
          <w:p>
            <w:pPr>
              <w:pStyle w:val="Normal"/>
              <w:bidi w:val="0"/>
              <w:rPr/>
            </w:pPr>
            <w:r>
              <w:rPr/>
              <w:t>Entrée en magasin et aire de dédouanement (M.A.D)</w:t>
            </w:r>
          </w:p>
        </w:tc>
        <w:tc>
          <w:tcPr>
            <w:tcW w:w="10148" w:type="dxa"/>
            <w:tcBorders/>
          </w:tcPr>
          <w:p>
            <w:pPr>
              <w:pStyle w:val="Normal"/>
              <w:bidi w:val="0"/>
              <w:rPr/>
            </w:pPr>
            <w:r>
              <w:rPr/>
              <w:t>- Redevance informatique (RI)</w:t>
            </w:r>
          </w:p>
          <w:p>
            <w:pPr>
              <w:pStyle w:val="Normal"/>
              <w:bidi w:val="0"/>
              <w:rPr/>
            </w:pPr>
            <w:r>
              <w:rPr/>
              <w:t>- Droit de passage au scanner (DPS)</w:t>
            </w:r>
          </w:p>
        </w:tc>
      </w:tr>
      <w:tr>
        <w:trPr/>
        <w:tc>
          <w:tcPr>
            <w:tcW w:w="4422" w:type="dxa"/>
            <w:tcBorders/>
          </w:tcPr>
          <w:p>
            <w:pPr>
              <w:pStyle w:val="Normal"/>
              <w:bidi w:val="0"/>
              <w:rPr/>
            </w:pPr>
            <w:r>
              <w:rPr/>
              <w:t>Entrée en boutique hors taxes</w:t>
            </w:r>
          </w:p>
        </w:tc>
        <w:tc>
          <w:tcPr>
            <w:tcW w:w="10148" w:type="dxa"/>
            <w:tcBorders/>
          </w:tcPr>
          <w:p>
            <w:pPr>
              <w:pStyle w:val="Normal"/>
              <w:bidi w:val="0"/>
              <w:rPr/>
            </w:pPr>
            <w:r>
              <w:rPr/>
              <w:t>Taxe d'Entrée en Boutique Hors Taxe (THT)</w:t>
            </w:r>
          </w:p>
        </w:tc>
      </w:tr>
      <w:tr>
        <w:trPr/>
        <w:tc>
          <w:tcPr>
            <w:tcW w:w="4422" w:type="dxa"/>
            <w:tcBorders/>
          </w:tcPr>
          <w:p>
            <w:pPr>
              <w:pStyle w:val="Normal"/>
              <w:bidi w:val="0"/>
              <w:rPr/>
            </w:pPr>
            <w:r>
              <w:rPr/>
              <w:t>Exportation simple (EX1)</w:t>
            </w:r>
          </w:p>
        </w:tc>
        <w:tc>
          <w:tcPr>
            <w:tcW w:w="10148" w:type="dxa"/>
            <w:tcBorders/>
          </w:tcPr>
          <w:p>
            <w:pPr>
              <w:pStyle w:val="Normal"/>
              <w:bidi w:val="0"/>
              <w:rPr/>
            </w:pPr>
            <w:r>
              <w:rPr/>
              <w:t>- Bénéfice agricole (BA) pour les produits agricoles togolais</w:t>
            </w:r>
          </w:p>
          <w:p>
            <w:pPr>
              <w:pStyle w:val="Normal"/>
              <w:bidi w:val="0"/>
              <w:rPr/>
            </w:pPr>
            <w:r>
              <w:rPr/>
              <w:t>- Redevance informatique (RI)</w:t>
            </w:r>
          </w:p>
        </w:tc>
      </w:tr>
      <w:tr>
        <w:trPr/>
        <w:tc>
          <w:tcPr>
            <w:tcW w:w="4422" w:type="dxa"/>
            <w:tcBorders/>
          </w:tcPr>
          <w:p>
            <w:pPr>
              <w:pStyle w:val="Normal"/>
              <w:bidi w:val="0"/>
              <w:rPr/>
            </w:pPr>
            <w:r>
              <w:rPr/>
              <w:t>Réexportation (EX3)</w:t>
            </w:r>
          </w:p>
        </w:tc>
        <w:tc>
          <w:tcPr>
            <w:tcW w:w="10148" w:type="dxa"/>
            <w:tcBorders/>
          </w:tcPr>
          <w:p>
            <w:pPr>
              <w:pStyle w:val="Normal"/>
              <w:bidi w:val="0"/>
              <w:rPr/>
            </w:pPr>
            <w:r>
              <w:rPr/>
              <w:t>- Taxe spéciale de réexportation (TSR) pour les marchandises en suite de MAD ou entrepôt de stockage</w:t>
            </w:r>
          </w:p>
          <w:p>
            <w:pPr>
              <w:pStyle w:val="Normal"/>
              <w:bidi w:val="0"/>
              <w:rPr/>
            </w:pPr>
            <w:r>
              <w:rPr/>
              <w:t>- Redevance informatique (RI)</w:t>
              <w:tab/>
            </w:r>
          </w:p>
        </w:tc>
      </w:tr>
    </w:tbl>
    <w:p>
      <w:pPr>
        <w:pStyle w:val="Normal"/>
        <w:bidi w:val="0"/>
        <w:jc w:val="left"/>
        <w:rPr>
          <w:lang w:val="fr-FR"/>
        </w:rPr>
      </w:pPr>
      <w:r>
        <w:rPr>
          <w:lang w:val="fr-FR"/>
        </w:rPr>
      </w:r>
    </w:p>
    <w:sectPr>
      <w:type w:val="nextPage"/>
      <w:pgSz w:orient="landscape" w:w="16838" w:h="11906"/>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LibreOffice/7.5.2.2$Linux_X86_64 LibreOffice_project/50$Build-2</Application>
  <AppVersion>15.0000</AppVersion>
  <Pages>11</Pages>
  <Words>1964</Words>
  <Characters>10723</Characters>
  <CharactersWithSpaces>12497</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2023-05-21T06:12:57Z</dcterms:created>
  <dc:creator/>
  <dc:description/>
  <dc:language>fr-FR</dc:language>
  <cp:lastModifiedBy/>
  <dcterms:modified xsi:type="dcterms:W3CDTF">2023-05-21T08:04:51Z</dcterms:modified>
  <cp:revision>1</cp:revision>
  <dc:subject/>
  <dc:title/>
</cp:coreProperties>
</file>